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3B3" w:rsidRDefault="000F03B3"/>
    <w:tbl>
      <w:tblPr>
        <w:tblW w:w="14616" w:type="dxa"/>
        <w:tblInd w:w="93" w:type="dxa"/>
        <w:tblLayout w:type="fixed"/>
        <w:tblLook w:val="04A0"/>
      </w:tblPr>
      <w:tblGrid>
        <w:gridCol w:w="1583"/>
        <w:gridCol w:w="840"/>
        <w:gridCol w:w="2979"/>
        <w:gridCol w:w="9214"/>
      </w:tblGrid>
      <w:tr w:rsidR="00B0058E" w:rsidTr="00BC6448">
        <w:trPr>
          <w:trHeight w:val="720"/>
        </w:trPr>
        <w:tc>
          <w:tcPr>
            <w:tcW w:w="14616" w:type="dxa"/>
            <w:gridSpan w:val="4"/>
            <w:tcBorders>
              <w:top w:val="nil"/>
              <w:left w:val="nil"/>
              <w:bottom w:val="nil"/>
              <w:right w:val="nil"/>
            </w:tcBorders>
            <w:shd w:val="clear" w:color="auto" w:fill="auto"/>
            <w:vAlign w:val="center"/>
            <w:hideMark/>
          </w:tcPr>
          <w:p w:rsidR="00B0058E" w:rsidRDefault="00B0058E" w:rsidP="00BC6448">
            <w:pPr>
              <w:jc w:val="center"/>
              <w:rPr>
                <w:rFonts w:ascii="Cambria" w:hAnsi="Cambria" w:cs="Calibri"/>
                <w:b/>
                <w:bCs/>
                <w:color w:val="111111"/>
                <w:sz w:val="20"/>
                <w:szCs w:val="20"/>
              </w:rPr>
            </w:pPr>
            <w:bookmarkStart w:id="0" w:name="RANGE!A1:D36"/>
            <w:r>
              <w:rPr>
                <w:rFonts w:ascii="Cambria" w:hAnsi="Cambria" w:cs="Calibri"/>
                <w:b/>
                <w:bCs/>
                <w:color w:val="111111"/>
                <w:sz w:val="20"/>
                <w:szCs w:val="20"/>
              </w:rPr>
              <w:t xml:space="preserve">Информация, </w:t>
            </w:r>
          </w:p>
          <w:p w:rsidR="00B0058E" w:rsidRDefault="00B0058E" w:rsidP="00B0058E">
            <w:pPr>
              <w:jc w:val="center"/>
              <w:rPr>
                <w:rFonts w:ascii="Cambria" w:hAnsi="Cambria" w:cs="Calibri"/>
                <w:b/>
                <w:bCs/>
                <w:color w:val="111111"/>
                <w:sz w:val="20"/>
                <w:szCs w:val="20"/>
              </w:rPr>
            </w:pPr>
            <w:proofErr w:type="gramStart"/>
            <w:r>
              <w:rPr>
                <w:rFonts w:ascii="Cambria" w:hAnsi="Cambria" w:cs="Calibri"/>
                <w:b/>
                <w:bCs/>
                <w:color w:val="111111"/>
                <w:sz w:val="20"/>
                <w:szCs w:val="20"/>
              </w:rPr>
              <w:t>раскрываема</w:t>
            </w:r>
            <w:r w:rsidR="00720841">
              <w:rPr>
                <w:rFonts w:ascii="Cambria" w:hAnsi="Cambria" w:cs="Calibri"/>
                <w:b/>
                <w:bCs/>
                <w:color w:val="111111"/>
                <w:sz w:val="20"/>
                <w:szCs w:val="20"/>
              </w:rPr>
              <w:t>я</w:t>
            </w:r>
            <w:proofErr w:type="gramEnd"/>
            <w:r w:rsidR="00720841">
              <w:rPr>
                <w:rFonts w:ascii="Cambria" w:hAnsi="Cambria" w:cs="Calibri"/>
                <w:b/>
                <w:bCs/>
                <w:color w:val="111111"/>
                <w:sz w:val="20"/>
                <w:szCs w:val="20"/>
              </w:rPr>
              <w:t xml:space="preserve"> в соответствии с подпунктом «б</w:t>
            </w:r>
            <w:r>
              <w:rPr>
                <w:rFonts w:ascii="Cambria" w:hAnsi="Cambria" w:cs="Calibri"/>
                <w:b/>
                <w:bCs/>
                <w:color w:val="111111"/>
                <w:sz w:val="20"/>
                <w:szCs w:val="20"/>
              </w:rPr>
              <w:t>» пункта 45</w:t>
            </w:r>
            <w:bookmarkStart w:id="1" w:name="_GoBack"/>
            <w:bookmarkEnd w:id="1"/>
            <w:r>
              <w:rPr>
                <w:rFonts w:ascii="Cambria" w:hAnsi="Cambria" w:cs="Calibri"/>
                <w:b/>
                <w:bCs/>
                <w:color w:val="111111"/>
                <w:sz w:val="20"/>
                <w:szCs w:val="20"/>
              </w:rPr>
              <w:t xml:space="preserve"> Стандартов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21.01.2004 № 24</w:t>
            </w:r>
            <w:bookmarkEnd w:id="0"/>
          </w:p>
        </w:tc>
      </w:tr>
      <w:tr w:rsidR="00B0058E" w:rsidTr="00BC6448">
        <w:trPr>
          <w:trHeight w:val="270"/>
        </w:trPr>
        <w:tc>
          <w:tcPr>
            <w:tcW w:w="1583" w:type="dxa"/>
            <w:tcBorders>
              <w:top w:val="nil"/>
              <w:left w:val="nil"/>
              <w:bottom w:val="single" w:sz="4" w:space="0" w:color="auto"/>
              <w:right w:val="nil"/>
            </w:tcBorders>
            <w:shd w:val="clear" w:color="000000" w:fill="F9F9F9"/>
            <w:vAlign w:val="center"/>
            <w:hideMark/>
          </w:tcPr>
          <w:p w:rsidR="00B0058E" w:rsidRDefault="00B0058E" w:rsidP="00BC6448">
            <w:pPr>
              <w:rPr>
                <w:rFonts w:ascii="Cambria" w:hAnsi="Cambria" w:cs="Calibri"/>
                <w:color w:val="111111"/>
                <w:sz w:val="20"/>
                <w:szCs w:val="20"/>
              </w:rPr>
            </w:pPr>
            <w:r>
              <w:rPr>
                <w:rFonts w:ascii="Cambria" w:hAnsi="Cambria" w:cs="Calibri"/>
                <w:color w:val="111111"/>
                <w:sz w:val="20"/>
                <w:szCs w:val="20"/>
              </w:rPr>
              <w:t> </w:t>
            </w:r>
          </w:p>
        </w:tc>
        <w:tc>
          <w:tcPr>
            <w:tcW w:w="840" w:type="dxa"/>
            <w:tcBorders>
              <w:top w:val="nil"/>
              <w:left w:val="nil"/>
              <w:bottom w:val="single" w:sz="4" w:space="0" w:color="auto"/>
              <w:right w:val="nil"/>
            </w:tcBorders>
            <w:shd w:val="clear" w:color="auto" w:fill="auto"/>
            <w:vAlign w:val="center"/>
            <w:hideMark/>
          </w:tcPr>
          <w:p w:rsidR="00B0058E" w:rsidRDefault="00B0058E" w:rsidP="00BC6448">
            <w:pPr>
              <w:rPr>
                <w:rFonts w:ascii="Cambria" w:hAnsi="Cambria" w:cs="Calibri"/>
                <w:color w:val="000000"/>
                <w:sz w:val="20"/>
                <w:szCs w:val="20"/>
              </w:rPr>
            </w:pPr>
          </w:p>
        </w:tc>
        <w:tc>
          <w:tcPr>
            <w:tcW w:w="2979" w:type="dxa"/>
            <w:tcBorders>
              <w:top w:val="nil"/>
              <w:left w:val="nil"/>
              <w:bottom w:val="single" w:sz="4" w:space="0" w:color="auto"/>
              <w:right w:val="nil"/>
            </w:tcBorders>
            <w:shd w:val="clear" w:color="auto" w:fill="auto"/>
            <w:vAlign w:val="center"/>
            <w:hideMark/>
          </w:tcPr>
          <w:p w:rsidR="00B0058E" w:rsidRDefault="00B0058E" w:rsidP="00BC6448">
            <w:pPr>
              <w:rPr>
                <w:rFonts w:ascii="Cambria" w:hAnsi="Cambria" w:cs="Calibri"/>
                <w:color w:val="000000"/>
                <w:sz w:val="20"/>
                <w:szCs w:val="20"/>
              </w:rPr>
            </w:pPr>
          </w:p>
        </w:tc>
        <w:tc>
          <w:tcPr>
            <w:tcW w:w="9214" w:type="dxa"/>
            <w:tcBorders>
              <w:top w:val="nil"/>
              <w:left w:val="nil"/>
              <w:bottom w:val="single" w:sz="4" w:space="0" w:color="auto"/>
              <w:right w:val="nil"/>
            </w:tcBorders>
            <w:shd w:val="clear" w:color="auto" w:fill="auto"/>
            <w:vAlign w:val="center"/>
            <w:hideMark/>
          </w:tcPr>
          <w:p w:rsidR="00B0058E" w:rsidRDefault="00B0058E" w:rsidP="00BC6448">
            <w:pPr>
              <w:rPr>
                <w:rFonts w:ascii="Cambria" w:hAnsi="Cambria" w:cs="Calibri"/>
                <w:color w:val="000000"/>
                <w:sz w:val="20"/>
                <w:szCs w:val="20"/>
              </w:rPr>
            </w:pPr>
          </w:p>
        </w:tc>
      </w:tr>
      <w:tr w:rsidR="00B0058E" w:rsidTr="00BC6448">
        <w:trPr>
          <w:trHeight w:val="324"/>
        </w:trPr>
        <w:tc>
          <w:tcPr>
            <w:tcW w:w="15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058E" w:rsidRPr="00C23BE7" w:rsidRDefault="00B0058E" w:rsidP="00BC6448">
            <w:pPr>
              <w:rPr>
                <w:color w:val="111111"/>
                <w:sz w:val="20"/>
                <w:szCs w:val="20"/>
              </w:rPr>
            </w:pPr>
            <w:r w:rsidRPr="00C23BE7">
              <w:rPr>
                <w:color w:val="111111"/>
                <w:sz w:val="20"/>
                <w:szCs w:val="20"/>
              </w:rPr>
              <w:t>Основные условия</w:t>
            </w:r>
            <w:r w:rsidRPr="00C23BE7">
              <w:rPr>
                <w:color w:val="111111"/>
                <w:sz w:val="20"/>
                <w:szCs w:val="20"/>
              </w:rPr>
              <w:softHyphen/>
              <w:t xml:space="preserve"> договора купли-продажи электрической энергии</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058E" w:rsidRPr="00C23BE7" w:rsidRDefault="00B0058E" w:rsidP="00BC6448">
            <w:pPr>
              <w:rPr>
                <w:color w:val="111111"/>
                <w:sz w:val="20"/>
                <w:szCs w:val="20"/>
              </w:rPr>
            </w:pPr>
            <w:r w:rsidRPr="00C23BE7">
              <w:rPr>
                <w:color w:val="111111"/>
                <w:sz w:val="20"/>
                <w:szCs w:val="20"/>
              </w:rPr>
              <w:t>1</w:t>
            </w:r>
          </w:p>
        </w:tc>
        <w:tc>
          <w:tcPr>
            <w:tcW w:w="29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058E" w:rsidRPr="00C23BE7" w:rsidRDefault="00B0058E" w:rsidP="00BC6448">
            <w:pPr>
              <w:rPr>
                <w:color w:val="111111"/>
                <w:sz w:val="20"/>
                <w:szCs w:val="20"/>
              </w:rPr>
            </w:pPr>
            <w:r w:rsidRPr="00C23BE7">
              <w:rPr>
                <w:color w:val="111111"/>
                <w:sz w:val="20"/>
                <w:szCs w:val="20"/>
              </w:rPr>
              <w:t>Срок действия договора</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58E" w:rsidRPr="00C23BE7" w:rsidRDefault="00B0058E" w:rsidP="00BC6448">
            <w:pPr>
              <w:rPr>
                <w:color w:val="111111"/>
                <w:sz w:val="20"/>
                <w:szCs w:val="20"/>
              </w:rPr>
            </w:pPr>
            <w:r w:rsidRPr="00C23BE7">
              <w:rPr>
                <w:color w:val="111111"/>
                <w:sz w:val="20"/>
                <w:szCs w:val="20"/>
              </w:rPr>
              <w:t>ПОТРЕБИТЕЛИ ЭЛЕКТРИЧЕСКОЙ ЭНЕРГИИ, ЗА ИСКЛЮЧЕНИЕМ НАСЕЛЕНИЯ</w:t>
            </w:r>
          </w:p>
        </w:tc>
      </w:tr>
      <w:tr w:rsidR="00B0058E" w:rsidTr="00BC6448">
        <w:trPr>
          <w:trHeight w:val="1958"/>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B0058E" w:rsidRPr="00C23BE7" w:rsidRDefault="00B0058E" w:rsidP="00BC6448">
            <w:pPr>
              <w:rPr>
                <w:color w:val="111111"/>
                <w:sz w:val="20"/>
                <w:szCs w:val="20"/>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B0058E" w:rsidRPr="00C23BE7" w:rsidRDefault="00B0058E" w:rsidP="00BC6448">
            <w:pPr>
              <w:rPr>
                <w:color w:val="111111"/>
                <w:sz w:val="20"/>
                <w:szCs w:val="20"/>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rsidR="00B0058E" w:rsidRPr="00C23BE7" w:rsidRDefault="00B0058E" w:rsidP="00BC6448">
            <w:pPr>
              <w:rPr>
                <w:color w:val="111111"/>
                <w:sz w:val="20"/>
                <w:szCs w:val="20"/>
              </w:rPr>
            </w:pP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58E" w:rsidRPr="00C23BE7" w:rsidRDefault="00B0058E" w:rsidP="00BC6448">
            <w:pPr>
              <w:rPr>
                <w:color w:val="111111"/>
                <w:sz w:val="20"/>
                <w:szCs w:val="20"/>
              </w:rPr>
            </w:pPr>
            <w:r w:rsidRPr="00C23BE7">
              <w:rPr>
                <w:color w:val="111111"/>
                <w:sz w:val="20"/>
                <w:szCs w:val="20"/>
              </w:rPr>
              <w:t xml:space="preserve">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заключенным на неопределенный срок (за исключением случаев, когда указанный договор заключен на период электроснабжения </w:t>
            </w:r>
            <w:proofErr w:type="spellStart"/>
            <w:r w:rsidRPr="00C23BE7">
              <w:rPr>
                <w:color w:val="111111"/>
                <w:sz w:val="20"/>
                <w:szCs w:val="20"/>
              </w:rPr>
              <w:t>энергопринимающих</w:t>
            </w:r>
            <w:proofErr w:type="spellEnd"/>
            <w:r w:rsidRPr="00C23BE7">
              <w:rPr>
                <w:color w:val="111111"/>
                <w:sz w:val="20"/>
                <w:szCs w:val="20"/>
              </w:rPr>
              <w:t xml:space="preserve"> устройств по временной схеме электроснабжения, предусмотренной Правилами технологического присоединения </w:t>
            </w:r>
            <w:proofErr w:type="spellStart"/>
            <w:r w:rsidRPr="00C23BE7">
              <w:rPr>
                <w:color w:val="111111"/>
                <w:sz w:val="20"/>
                <w:szCs w:val="20"/>
              </w:rPr>
              <w:t>энергопринимающих</w:t>
            </w:r>
            <w:proofErr w:type="spellEnd"/>
            <w:r w:rsidRPr="00C23BE7">
              <w:rPr>
                <w:color w:val="111111"/>
                <w:sz w:val="20"/>
                <w:szCs w:val="20"/>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 может быть изменен или расторгнут по основаниям, предусмотренным гражданским законодательством Российской Федерации и настоящим документом.</w:t>
            </w:r>
          </w:p>
        </w:tc>
      </w:tr>
      <w:tr w:rsidR="00B0058E" w:rsidTr="00BC6448">
        <w:trPr>
          <w:trHeight w:val="1793"/>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B0058E" w:rsidRPr="00C23BE7" w:rsidRDefault="00B0058E" w:rsidP="00BC6448">
            <w:pPr>
              <w:rPr>
                <w:color w:val="111111"/>
                <w:sz w:val="20"/>
                <w:szCs w:val="20"/>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B0058E" w:rsidRPr="00C23BE7" w:rsidRDefault="00B0058E" w:rsidP="00BC6448">
            <w:pPr>
              <w:rPr>
                <w:color w:val="111111"/>
                <w:sz w:val="20"/>
                <w:szCs w:val="20"/>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rsidR="00B0058E" w:rsidRPr="00C23BE7" w:rsidRDefault="00B0058E" w:rsidP="00BC6448">
            <w:pPr>
              <w:rPr>
                <w:color w:val="111111"/>
                <w:sz w:val="20"/>
                <w:szCs w:val="20"/>
              </w:rPr>
            </w:pP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58E" w:rsidRPr="00C23BE7" w:rsidRDefault="00B0058E" w:rsidP="00BC6448">
            <w:pPr>
              <w:rPr>
                <w:color w:val="111111"/>
                <w:sz w:val="20"/>
                <w:szCs w:val="20"/>
              </w:rPr>
            </w:pPr>
            <w:r w:rsidRPr="00C23BE7">
              <w:rPr>
                <w:color w:val="111111"/>
                <w:sz w:val="20"/>
                <w:szCs w:val="20"/>
              </w:rPr>
              <w:t>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tc>
      </w:tr>
      <w:tr w:rsidR="00B0058E" w:rsidTr="00BC6448">
        <w:trPr>
          <w:trHeight w:val="2258"/>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B0058E" w:rsidRPr="00C23BE7" w:rsidRDefault="00B0058E" w:rsidP="00BC6448">
            <w:pPr>
              <w:rPr>
                <w:color w:val="111111"/>
                <w:sz w:val="20"/>
                <w:szCs w:val="20"/>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B0058E" w:rsidRPr="00C23BE7" w:rsidRDefault="00B0058E" w:rsidP="00BC6448">
            <w:pPr>
              <w:rPr>
                <w:color w:val="111111"/>
                <w:sz w:val="20"/>
                <w:szCs w:val="20"/>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rsidR="00B0058E" w:rsidRPr="00C23BE7" w:rsidRDefault="00B0058E" w:rsidP="00BC6448">
            <w:pPr>
              <w:rPr>
                <w:color w:val="111111"/>
                <w:sz w:val="20"/>
                <w:szCs w:val="20"/>
              </w:rPr>
            </w:pP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58E" w:rsidRPr="00C23BE7" w:rsidRDefault="00B0058E" w:rsidP="00BC6448">
            <w:pPr>
              <w:rPr>
                <w:color w:val="111111"/>
                <w:sz w:val="20"/>
                <w:szCs w:val="20"/>
              </w:rPr>
            </w:pPr>
            <w:r w:rsidRPr="00C23BE7">
              <w:rPr>
                <w:color w:val="111111"/>
                <w:sz w:val="20"/>
                <w:szCs w:val="20"/>
              </w:rPr>
              <w:t>НАСЕЛЕНИЕ И ПРИРАВНЕННЫЕ К НЕМУ КАТЕГОРИИ ПОТРЕБИТЕЛЕЙ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гарантирующим поставщиком с даты начала предоставления коммунальных услуг таким исполнителем, указанной в пункте 17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w:t>
            </w:r>
          </w:p>
        </w:tc>
      </w:tr>
      <w:tr w:rsidR="00B0058E" w:rsidTr="00BC6448">
        <w:trPr>
          <w:trHeight w:val="829"/>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B0058E" w:rsidRPr="00C23BE7" w:rsidRDefault="00B0058E" w:rsidP="00BC6448">
            <w:pPr>
              <w:rPr>
                <w:color w:val="111111"/>
                <w:sz w:val="20"/>
                <w:szCs w:val="20"/>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B0058E" w:rsidRPr="00C23BE7" w:rsidRDefault="00B0058E" w:rsidP="00BC6448">
            <w:pPr>
              <w:rPr>
                <w:color w:val="111111"/>
                <w:sz w:val="20"/>
                <w:szCs w:val="20"/>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rsidR="00B0058E" w:rsidRPr="00C23BE7" w:rsidRDefault="00B0058E" w:rsidP="00BC6448">
            <w:pPr>
              <w:rPr>
                <w:color w:val="111111"/>
                <w:sz w:val="20"/>
                <w:szCs w:val="20"/>
              </w:rPr>
            </w:pP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58E" w:rsidRPr="00C23BE7" w:rsidRDefault="00B0058E" w:rsidP="00BC6448">
            <w:pPr>
              <w:rPr>
                <w:color w:val="111111"/>
                <w:sz w:val="20"/>
                <w:szCs w:val="20"/>
              </w:rPr>
            </w:pPr>
            <w:r w:rsidRPr="00C23BE7">
              <w:rPr>
                <w:color w:val="111111"/>
                <w:sz w:val="20"/>
                <w:szCs w:val="20"/>
              </w:rP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tc>
      </w:tr>
      <w:tr w:rsidR="00B0058E" w:rsidTr="00BC6448">
        <w:trPr>
          <w:trHeight w:val="274"/>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B0058E" w:rsidRPr="00C23BE7" w:rsidRDefault="00B0058E" w:rsidP="00BC6448">
            <w:pPr>
              <w:rPr>
                <w:color w:val="111111"/>
                <w:sz w:val="20"/>
                <w:szCs w:val="20"/>
              </w:rPr>
            </w:pP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058E" w:rsidRPr="00C23BE7" w:rsidRDefault="00B0058E" w:rsidP="00BC6448">
            <w:pPr>
              <w:rPr>
                <w:color w:val="111111"/>
                <w:sz w:val="20"/>
                <w:szCs w:val="20"/>
              </w:rPr>
            </w:pPr>
            <w:r w:rsidRPr="00C23BE7">
              <w:rPr>
                <w:color w:val="111111"/>
                <w:sz w:val="20"/>
                <w:szCs w:val="20"/>
              </w:rPr>
              <w:t>2</w:t>
            </w:r>
          </w:p>
        </w:tc>
        <w:tc>
          <w:tcPr>
            <w:tcW w:w="29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058E" w:rsidRPr="00C23BE7" w:rsidRDefault="00B0058E" w:rsidP="00BC6448">
            <w:pPr>
              <w:rPr>
                <w:color w:val="111111"/>
                <w:sz w:val="20"/>
                <w:szCs w:val="20"/>
              </w:rPr>
            </w:pPr>
            <w:r w:rsidRPr="00C23BE7">
              <w:rPr>
                <w:color w:val="111111"/>
                <w:sz w:val="20"/>
                <w:szCs w:val="20"/>
              </w:rPr>
              <w:t>Вид цены на электрическую энергию (фиксированная или переменная)</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58E" w:rsidRPr="00C23BE7" w:rsidRDefault="00B0058E" w:rsidP="00BC6448">
            <w:pPr>
              <w:rPr>
                <w:color w:val="111111"/>
                <w:sz w:val="20"/>
                <w:szCs w:val="20"/>
              </w:rPr>
            </w:pPr>
            <w:r w:rsidRPr="00C23BE7">
              <w:rPr>
                <w:color w:val="111111"/>
                <w:sz w:val="20"/>
                <w:szCs w:val="20"/>
              </w:rPr>
              <w:t>"ПОТРЕБИТЕЛИ ЭЛЕКТРИЧЕСКОЙ ЭНЕРГИИ, ЗА ИСКЛЮЧЕНИЕМ НАСЕЛЕНИЯ</w:t>
            </w:r>
          </w:p>
        </w:tc>
      </w:tr>
      <w:tr w:rsidR="00B0058E" w:rsidTr="00BC6448">
        <w:trPr>
          <w:trHeight w:val="570"/>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B0058E" w:rsidRPr="00C23BE7" w:rsidRDefault="00B0058E" w:rsidP="00BC6448">
            <w:pPr>
              <w:rPr>
                <w:color w:val="111111"/>
                <w:sz w:val="20"/>
                <w:szCs w:val="20"/>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B0058E" w:rsidRPr="00C23BE7" w:rsidRDefault="00B0058E" w:rsidP="00BC6448">
            <w:pPr>
              <w:rPr>
                <w:color w:val="111111"/>
                <w:sz w:val="20"/>
                <w:szCs w:val="20"/>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rsidR="00B0058E" w:rsidRPr="00C23BE7" w:rsidRDefault="00B0058E" w:rsidP="00BC6448">
            <w:pPr>
              <w:rPr>
                <w:color w:val="111111"/>
                <w:sz w:val="20"/>
                <w:szCs w:val="20"/>
              </w:rPr>
            </w:pP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58E" w:rsidRPr="00C23BE7" w:rsidRDefault="00B0058E" w:rsidP="00BC6448">
            <w:pPr>
              <w:rPr>
                <w:color w:val="111111"/>
                <w:sz w:val="20"/>
                <w:szCs w:val="20"/>
              </w:rPr>
            </w:pPr>
            <w:r w:rsidRPr="00C23BE7">
              <w:rPr>
                <w:color w:val="111111"/>
                <w:sz w:val="20"/>
                <w:szCs w:val="20"/>
              </w:rPr>
              <w:t xml:space="preserve">Электрическая энергия (мощность) продается по регулируемым ценам  установленных РЭК Сахалинской области </w:t>
            </w:r>
          </w:p>
        </w:tc>
      </w:tr>
      <w:tr w:rsidR="00B0058E" w:rsidTr="00BC6448">
        <w:trPr>
          <w:trHeight w:val="834"/>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B0058E" w:rsidRPr="00C23BE7" w:rsidRDefault="00B0058E" w:rsidP="00BC6448">
            <w:pPr>
              <w:rPr>
                <w:color w:val="111111"/>
                <w:sz w:val="20"/>
                <w:szCs w:val="20"/>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B0058E" w:rsidRPr="00C23BE7" w:rsidRDefault="00B0058E" w:rsidP="00BC6448">
            <w:pPr>
              <w:rPr>
                <w:color w:val="111111"/>
                <w:sz w:val="20"/>
                <w:szCs w:val="20"/>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rsidR="00B0058E" w:rsidRPr="00C23BE7" w:rsidRDefault="00B0058E" w:rsidP="00BC6448">
            <w:pPr>
              <w:rPr>
                <w:color w:val="111111"/>
                <w:sz w:val="20"/>
                <w:szCs w:val="20"/>
              </w:rPr>
            </w:pP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58E" w:rsidRPr="00C23BE7" w:rsidRDefault="00B0058E" w:rsidP="00BC6448">
            <w:pPr>
              <w:rPr>
                <w:color w:val="111111"/>
                <w:sz w:val="20"/>
                <w:szCs w:val="20"/>
              </w:rPr>
            </w:pPr>
            <w:r w:rsidRPr="00C23BE7">
              <w:rPr>
                <w:color w:val="111111"/>
                <w:sz w:val="20"/>
                <w:szCs w:val="20"/>
              </w:rPr>
              <w:t>НАСЕЛЕНИЕ И ПРИРАВНЕННЫЕ К НЕМУ КАТЕГОРИИ ПОТРЕБИТЕЛЕЙ Поставка электрической энергии (мощности) населению и приравненным к нему категориям потребителей осуществляется по регулируемым ценам (тарифам), установленным РЭК Сахалинской области</w:t>
            </w:r>
          </w:p>
        </w:tc>
      </w:tr>
      <w:tr w:rsidR="00B0058E" w:rsidTr="00BC6448">
        <w:trPr>
          <w:trHeight w:val="561"/>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B0058E" w:rsidRPr="00C23BE7" w:rsidRDefault="00B0058E" w:rsidP="00BC6448">
            <w:pPr>
              <w:rPr>
                <w:color w:val="111111"/>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58E" w:rsidRPr="00C23BE7" w:rsidRDefault="00B0058E" w:rsidP="00BC6448">
            <w:pPr>
              <w:rPr>
                <w:color w:val="111111"/>
                <w:sz w:val="20"/>
                <w:szCs w:val="20"/>
              </w:rPr>
            </w:pPr>
            <w:r w:rsidRPr="00C23BE7">
              <w:rPr>
                <w:color w:val="111111"/>
                <w:sz w:val="20"/>
                <w:szCs w:val="20"/>
              </w:rPr>
              <w:t>3</w:t>
            </w:r>
          </w:p>
        </w:tc>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58E" w:rsidRPr="00C23BE7" w:rsidRDefault="00B0058E" w:rsidP="00BC6448">
            <w:pPr>
              <w:rPr>
                <w:color w:val="111111"/>
                <w:sz w:val="20"/>
                <w:szCs w:val="20"/>
              </w:rPr>
            </w:pPr>
            <w:r w:rsidRPr="00C23BE7">
              <w:rPr>
                <w:color w:val="111111"/>
                <w:sz w:val="20"/>
                <w:szCs w:val="20"/>
              </w:rPr>
              <w:t>Форма оплаты</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58E" w:rsidRPr="00C23BE7" w:rsidRDefault="00B0058E" w:rsidP="00BC6448">
            <w:pPr>
              <w:rPr>
                <w:color w:val="111111"/>
                <w:sz w:val="20"/>
                <w:szCs w:val="20"/>
              </w:rPr>
            </w:pPr>
            <w:r w:rsidRPr="00C23BE7">
              <w:rPr>
                <w:color w:val="111111"/>
                <w:sz w:val="20"/>
                <w:szCs w:val="20"/>
              </w:rPr>
              <w:t>Оплата стоимости потребленной электроэнергии производится по наличному или безналичному расчету.</w:t>
            </w:r>
          </w:p>
        </w:tc>
      </w:tr>
      <w:tr w:rsidR="00B0058E" w:rsidTr="00BC6448">
        <w:trPr>
          <w:trHeight w:val="768"/>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B0058E" w:rsidRPr="00C23BE7" w:rsidRDefault="00B0058E" w:rsidP="00BC6448">
            <w:pPr>
              <w:rPr>
                <w:color w:val="111111"/>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58E" w:rsidRPr="00C23BE7" w:rsidRDefault="00B0058E" w:rsidP="00BC6448">
            <w:pPr>
              <w:rPr>
                <w:color w:val="111111"/>
                <w:sz w:val="20"/>
                <w:szCs w:val="20"/>
              </w:rPr>
            </w:pPr>
            <w:r w:rsidRPr="00C23BE7">
              <w:rPr>
                <w:color w:val="111111"/>
                <w:sz w:val="20"/>
                <w:szCs w:val="20"/>
              </w:rPr>
              <w:t>4</w:t>
            </w:r>
          </w:p>
        </w:tc>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58E" w:rsidRPr="00C23BE7" w:rsidRDefault="00B0058E" w:rsidP="00BC6448">
            <w:pPr>
              <w:rPr>
                <w:color w:val="111111"/>
                <w:sz w:val="20"/>
                <w:szCs w:val="20"/>
              </w:rPr>
            </w:pPr>
            <w:r w:rsidRPr="00C23BE7">
              <w:rPr>
                <w:color w:val="111111"/>
                <w:sz w:val="20"/>
                <w:szCs w:val="20"/>
              </w:rPr>
              <w:t>Форма обеспечения исполнения обязательств сторон по договору</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58E" w:rsidRPr="00C23BE7" w:rsidRDefault="00B0058E" w:rsidP="00BC6448">
            <w:pPr>
              <w:rPr>
                <w:color w:val="111111"/>
                <w:sz w:val="20"/>
                <w:szCs w:val="20"/>
              </w:rPr>
            </w:pPr>
            <w:r w:rsidRPr="00C23BE7">
              <w:rPr>
                <w:color w:val="111111"/>
                <w:sz w:val="20"/>
                <w:szCs w:val="20"/>
              </w:rPr>
              <w:t>Основной формой обеспечения исполнения обязательств по договору является неустойка (пени). Договором может быть предусмотрены иные формы обеспечения исполнения обязательств сторон в соответствии с главой 23 Гражданского Кодекса Российской Федерации.</w:t>
            </w:r>
          </w:p>
        </w:tc>
      </w:tr>
      <w:tr w:rsidR="00B0058E" w:rsidTr="00BC6448">
        <w:trPr>
          <w:trHeight w:val="412"/>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B0058E" w:rsidRPr="00C23BE7" w:rsidRDefault="00B0058E" w:rsidP="00BC6448">
            <w:pPr>
              <w:rPr>
                <w:color w:val="111111"/>
                <w:sz w:val="20"/>
                <w:szCs w:val="20"/>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58E" w:rsidRPr="00C23BE7" w:rsidRDefault="00B0058E" w:rsidP="00BC6448">
            <w:pPr>
              <w:rPr>
                <w:color w:val="111111"/>
                <w:sz w:val="20"/>
                <w:szCs w:val="20"/>
              </w:rPr>
            </w:pPr>
            <w:r w:rsidRPr="00C23BE7">
              <w:rPr>
                <w:color w:val="111111"/>
                <w:sz w:val="20"/>
                <w:szCs w:val="20"/>
              </w:rPr>
              <w:t>5</w:t>
            </w:r>
          </w:p>
        </w:tc>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58E" w:rsidRPr="00C23BE7" w:rsidRDefault="00B0058E" w:rsidP="00BC6448">
            <w:pPr>
              <w:rPr>
                <w:color w:val="111111"/>
                <w:sz w:val="20"/>
                <w:szCs w:val="20"/>
              </w:rPr>
            </w:pPr>
            <w:r w:rsidRPr="00C23BE7">
              <w:rPr>
                <w:color w:val="111111"/>
                <w:sz w:val="20"/>
                <w:szCs w:val="20"/>
              </w:rPr>
              <w:t>Зона обслуживания</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58E" w:rsidRPr="00C23BE7" w:rsidRDefault="00B0058E" w:rsidP="00BC6448">
            <w:pPr>
              <w:rPr>
                <w:color w:val="111111"/>
                <w:sz w:val="20"/>
                <w:szCs w:val="20"/>
              </w:rPr>
            </w:pPr>
            <w:r w:rsidRPr="00C23BE7">
              <w:rPr>
                <w:color w:val="111111"/>
                <w:sz w:val="20"/>
                <w:szCs w:val="20"/>
              </w:rPr>
              <w:t>В  пределах территории, находящейся в зоне деятельности гарантирующего поставщика ООО "</w:t>
            </w:r>
            <w:proofErr w:type="spellStart"/>
            <w:r w:rsidRPr="00C23BE7">
              <w:rPr>
                <w:color w:val="111111"/>
                <w:sz w:val="20"/>
                <w:szCs w:val="20"/>
              </w:rPr>
              <w:t>Саалинская</w:t>
            </w:r>
            <w:proofErr w:type="spellEnd"/>
            <w:r w:rsidRPr="00C23BE7">
              <w:rPr>
                <w:color w:val="111111"/>
                <w:sz w:val="20"/>
                <w:szCs w:val="20"/>
              </w:rPr>
              <w:t xml:space="preserve"> Газовая Энергетическая компания"</w:t>
            </w:r>
          </w:p>
        </w:tc>
      </w:tr>
      <w:tr w:rsidR="00B0058E" w:rsidTr="00BC6448">
        <w:trPr>
          <w:trHeight w:val="361"/>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B0058E" w:rsidRPr="00C23BE7" w:rsidRDefault="00B0058E" w:rsidP="00BC6448">
            <w:pPr>
              <w:rPr>
                <w:color w:val="111111"/>
                <w:sz w:val="20"/>
                <w:szCs w:val="20"/>
              </w:rPr>
            </w:pP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058E" w:rsidRPr="00C23BE7" w:rsidRDefault="00B0058E" w:rsidP="00BC6448">
            <w:pPr>
              <w:rPr>
                <w:color w:val="111111"/>
                <w:sz w:val="20"/>
                <w:szCs w:val="20"/>
              </w:rPr>
            </w:pPr>
            <w:r w:rsidRPr="00C23BE7">
              <w:rPr>
                <w:color w:val="111111"/>
                <w:sz w:val="20"/>
                <w:szCs w:val="20"/>
              </w:rPr>
              <w:t>6</w:t>
            </w:r>
          </w:p>
        </w:tc>
        <w:tc>
          <w:tcPr>
            <w:tcW w:w="29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058E" w:rsidRPr="00C23BE7" w:rsidRDefault="00B0058E" w:rsidP="00BC6448">
            <w:pPr>
              <w:rPr>
                <w:color w:val="111111"/>
                <w:sz w:val="20"/>
                <w:szCs w:val="20"/>
              </w:rPr>
            </w:pPr>
            <w:r w:rsidRPr="00C23BE7">
              <w:rPr>
                <w:color w:val="111111"/>
                <w:sz w:val="20"/>
                <w:szCs w:val="20"/>
              </w:rPr>
              <w:t>Условия расторжения договора</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58E" w:rsidRPr="00C23BE7" w:rsidRDefault="00B0058E" w:rsidP="00BC6448">
            <w:pPr>
              <w:rPr>
                <w:color w:val="111111"/>
                <w:sz w:val="20"/>
                <w:szCs w:val="20"/>
              </w:rPr>
            </w:pPr>
            <w:r w:rsidRPr="00C23BE7">
              <w:rPr>
                <w:color w:val="111111"/>
                <w:sz w:val="20"/>
                <w:szCs w:val="20"/>
              </w:rPr>
              <w:t>ПОТРЕБИТЕЛИ ЭЛЕКТРИЧЕСКОЙ ЭНЕРГИИ, ЗА ИСКЛЮЧЕНИЕМ НАСЕЛЕНИЯ</w:t>
            </w:r>
          </w:p>
        </w:tc>
      </w:tr>
      <w:tr w:rsidR="00B0058E" w:rsidTr="00BC6448">
        <w:trPr>
          <w:trHeight w:val="423"/>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B0058E" w:rsidRPr="00C23BE7" w:rsidRDefault="00B0058E" w:rsidP="00BC6448">
            <w:pPr>
              <w:rPr>
                <w:color w:val="111111"/>
                <w:sz w:val="20"/>
                <w:szCs w:val="20"/>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B0058E" w:rsidRPr="00C23BE7" w:rsidRDefault="00B0058E" w:rsidP="00BC6448">
            <w:pPr>
              <w:rPr>
                <w:color w:val="111111"/>
                <w:sz w:val="20"/>
                <w:szCs w:val="20"/>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rsidR="00B0058E" w:rsidRPr="00C23BE7" w:rsidRDefault="00B0058E" w:rsidP="00BC6448">
            <w:pPr>
              <w:rPr>
                <w:color w:val="111111"/>
                <w:sz w:val="20"/>
                <w:szCs w:val="20"/>
              </w:rPr>
            </w:pP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58E" w:rsidRPr="00C23BE7" w:rsidRDefault="00B0058E" w:rsidP="00BC6448">
            <w:pPr>
              <w:rPr>
                <w:color w:val="111111"/>
                <w:sz w:val="20"/>
                <w:szCs w:val="20"/>
              </w:rPr>
            </w:pPr>
            <w:r w:rsidRPr="00C23BE7">
              <w:rPr>
                <w:color w:val="111111"/>
                <w:sz w:val="20"/>
                <w:szCs w:val="20"/>
              </w:rPr>
              <w:t>Установлены общие основания расторжения договора в соответствии с законодательством Российской Федерации.</w:t>
            </w:r>
          </w:p>
        </w:tc>
      </w:tr>
      <w:tr w:rsidR="00B0058E" w:rsidTr="00BC6448">
        <w:trPr>
          <w:trHeight w:val="2358"/>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B0058E" w:rsidRPr="00C23BE7" w:rsidRDefault="00B0058E" w:rsidP="00BC6448">
            <w:pPr>
              <w:rPr>
                <w:color w:val="111111"/>
                <w:sz w:val="20"/>
                <w:szCs w:val="20"/>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B0058E" w:rsidRPr="00C23BE7" w:rsidRDefault="00B0058E" w:rsidP="00BC6448">
            <w:pPr>
              <w:rPr>
                <w:color w:val="111111"/>
                <w:sz w:val="20"/>
                <w:szCs w:val="20"/>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rsidR="00B0058E" w:rsidRPr="00C23BE7" w:rsidRDefault="00B0058E" w:rsidP="00BC6448">
            <w:pPr>
              <w:rPr>
                <w:color w:val="111111"/>
                <w:sz w:val="20"/>
                <w:szCs w:val="20"/>
              </w:rPr>
            </w:pP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58E" w:rsidRPr="00C23BE7" w:rsidRDefault="00B0058E" w:rsidP="00BC6448">
            <w:pPr>
              <w:rPr>
                <w:color w:val="111111"/>
                <w:sz w:val="20"/>
                <w:szCs w:val="20"/>
              </w:rPr>
            </w:pPr>
            <w:r w:rsidRPr="00C23BE7">
              <w:rPr>
                <w:color w:val="111111"/>
                <w:sz w:val="20"/>
                <w:szCs w:val="20"/>
              </w:rPr>
              <w:t>Потребитель (покупатель)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При этом Потребитель (покупатель), имеющий намерение в одностороннем порядке отказаться от исполнения договора энергоснабжения (купли-продажи (поставки) электрической энергии (мощности)) с гарантирующим поставщиком полностью, обязан передать гарантирующему поставщику письменное уведомление об этом не позднее чем за 20 рабочих дней до заявляемой им даты расторжения договора способом, позволяющим подтвердить факт и дату получения указанного уведомления.</w:t>
            </w:r>
          </w:p>
        </w:tc>
      </w:tr>
      <w:tr w:rsidR="00B0058E" w:rsidTr="00BC6448">
        <w:trPr>
          <w:trHeight w:val="2961"/>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B0058E" w:rsidRPr="00C23BE7" w:rsidRDefault="00B0058E" w:rsidP="00BC6448">
            <w:pPr>
              <w:rPr>
                <w:color w:val="111111"/>
                <w:sz w:val="20"/>
                <w:szCs w:val="20"/>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B0058E" w:rsidRPr="00C23BE7" w:rsidRDefault="00B0058E" w:rsidP="00BC6448">
            <w:pPr>
              <w:rPr>
                <w:color w:val="111111"/>
                <w:sz w:val="20"/>
                <w:szCs w:val="20"/>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rsidR="00B0058E" w:rsidRPr="00C23BE7" w:rsidRDefault="00B0058E" w:rsidP="00BC6448">
            <w:pPr>
              <w:rPr>
                <w:color w:val="111111"/>
                <w:sz w:val="20"/>
                <w:szCs w:val="20"/>
              </w:rPr>
            </w:pP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58E" w:rsidRPr="00C23BE7" w:rsidRDefault="00B0058E" w:rsidP="00BC6448">
            <w:pPr>
              <w:rPr>
                <w:color w:val="111111"/>
                <w:sz w:val="20"/>
                <w:szCs w:val="20"/>
              </w:rPr>
            </w:pPr>
            <w:r w:rsidRPr="00C23BE7">
              <w:rPr>
                <w:color w:val="111111"/>
                <w:sz w:val="20"/>
                <w:szCs w:val="20"/>
              </w:rPr>
              <w:t xml:space="preserve">В случае если по договору энергоснабжения потребителем (покупателем)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(покупателя) об этом за 10 рабочих дней до заявляемой им даты отказа от договора. При этом в случае если гарантирующий поставщик по указанным основаниям в одностороннем порядке полностью отказывается от исполнения договора, заключенного с </w:t>
            </w:r>
            <w:proofErr w:type="spellStart"/>
            <w:r w:rsidRPr="00C23BE7">
              <w:rPr>
                <w:color w:val="111111"/>
                <w:sz w:val="20"/>
                <w:szCs w:val="20"/>
              </w:rPr>
              <w:t>энергосбытовой</w:t>
            </w:r>
            <w:proofErr w:type="spellEnd"/>
            <w:r w:rsidRPr="00C23BE7">
              <w:rPr>
                <w:color w:val="111111"/>
                <w:sz w:val="20"/>
                <w:szCs w:val="20"/>
              </w:rPr>
              <w:t xml:space="preserve"> (</w:t>
            </w:r>
            <w:proofErr w:type="spellStart"/>
            <w:r w:rsidRPr="00C23BE7">
              <w:rPr>
                <w:color w:val="111111"/>
                <w:sz w:val="20"/>
                <w:szCs w:val="20"/>
              </w:rPr>
              <w:t>энергоснабжающей</w:t>
            </w:r>
            <w:proofErr w:type="spellEnd"/>
            <w:r w:rsidRPr="00C23BE7">
              <w:rPr>
                <w:color w:val="111111"/>
                <w:sz w:val="20"/>
                <w:szCs w:val="20"/>
              </w:rPr>
              <w:t xml:space="preserve">) организацией, исполнителем коммунальных услуг, то для обеспечения бесперебойного энергоснабжения потребителей </w:t>
            </w:r>
            <w:proofErr w:type="spellStart"/>
            <w:r w:rsidRPr="00C23BE7">
              <w:rPr>
                <w:color w:val="111111"/>
                <w:sz w:val="20"/>
                <w:szCs w:val="20"/>
              </w:rPr>
              <w:t>энергосбытовой</w:t>
            </w:r>
            <w:proofErr w:type="spellEnd"/>
            <w:r w:rsidRPr="00C23BE7">
              <w:rPr>
                <w:color w:val="111111"/>
                <w:sz w:val="20"/>
                <w:szCs w:val="20"/>
              </w:rPr>
              <w:t xml:space="preserve"> (</w:t>
            </w:r>
            <w:proofErr w:type="spellStart"/>
            <w:r w:rsidRPr="00C23BE7">
              <w:rPr>
                <w:color w:val="111111"/>
                <w:sz w:val="20"/>
                <w:szCs w:val="20"/>
              </w:rPr>
              <w:t>энергоснабжающей</w:t>
            </w:r>
            <w:proofErr w:type="spellEnd"/>
            <w:r w:rsidRPr="00C23BE7">
              <w:rPr>
                <w:color w:val="111111"/>
                <w:sz w:val="20"/>
                <w:szCs w:val="20"/>
              </w:rPr>
              <w:t>) организации, исполнителя коммунальных услуг гарантирующий поставщик обязан обеспечить принятие их на обслуживание, организованное в порядке, установленном разделом II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 442.</w:t>
            </w:r>
          </w:p>
        </w:tc>
      </w:tr>
      <w:tr w:rsidR="00B0058E" w:rsidTr="00BC6448">
        <w:trPr>
          <w:trHeight w:val="410"/>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B0058E" w:rsidRPr="00C23BE7" w:rsidRDefault="00B0058E" w:rsidP="00BC6448">
            <w:pPr>
              <w:rPr>
                <w:color w:val="111111"/>
                <w:sz w:val="20"/>
                <w:szCs w:val="20"/>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B0058E" w:rsidRPr="00C23BE7" w:rsidRDefault="00B0058E" w:rsidP="00BC6448">
            <w:pPr>
              <w:rPr>
                <w:color w:val="111111"/>
                <w:sz w:val="20"/>
                <w:szCs w:val="20"/>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rsidR="00B0058E" w:rsidRPr="00C23BE7" w:rsidRDefault="00B0058E" w:rsidP="00BC6448">
            <w:pPr>
              <w:rPr>
                <w:color w:val="111111"/>
                <w:sz w:val="20"/>
                <w:szCs w:val="20"/>
              </w:rPr>
            </w:pP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58E" w:rsidRPr="00C23BE7" w:rsidRDefault="00B0058E" w:rsidP="00BC6448">
            <w:pPr>
              <w:rPr>
                <w:color w:val="111111"/>
                <w:sz w:val="20"/>
                <w:szCs w:val="20"/>
              </w:rPr>
            </w:pPr>
            <w:r w:rsidRPr="00C23BE7">
              <w:rPr>
                <w:color w:val="111111"/>
                <w:sz w:val="20"/>
                <w:szCs w:val="20"/>
              </w:rPr>
              <w:t>НАСЕЛЕНИЕ И ПРИРАВНЕННЫЕ К НЕМУ КАТЕГОРИИ ПОТРЕБИТЕЛЕЙ</w:t>
            </w:r>
          </w:p>
        </w:tc>
      </w:tr>
      <w:tr w:rsidR="00B0058E" w:rsidTr="00BC6448">
        <w:trPr>
          <w:trHeight w:val="557"/>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B0058E" w:rsidRPr="00C23BE7" w:rsidRDefault="00B0058E" w:rsidP="00BC6448">
            <w:pPr>
              <w:rPr>
                <w:color w:val="111111"/>
                <w:sz w:val="20"/>
                <w:szCs w:val="20"/>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B0058E" w:rsidRPr="00C23BE7" w:rsidRDefault="00B0058E" w:rsidP="00BC6448">
            <w:pPr>
              <w:rPr>
                <w:color w:val="111111"/>
                <w:sz w:val="20"/>
                <w:szCs w:val="20"/>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rsidR="00B0058E" w:rsidRPr="00C23BE7" w:rsidRDefault="00B0058E" w:rsidP="00BC6448">
            <w:pPr>
              <w:rPr>
                <w:color w:val="111111"/>
                <w:sz w:val="20"/>
                <w:szCs w:val="20"/>
              </w:rPr>
            </w:pP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58E" w:rsidRPr="00C23BE7" w:rsidRDefault="00B0058E" w:rsidP="00BC6448">
            <w:pPr>
              <w:rPr>
                <w:color w:val="111111"/>
                <w:sz w:val="20"/>
                <w:szCs w:val="20"/>
              </w:rPr>
            </w:pPr>
            <w:r w:rsidRPr="00C23BE7">
              <w:rPr>
                <w:color w:val="111111"/>
                <w:sz w:val="20"/>
                <w:szCs w:val="20"/>
              </w:rPr>
              <w:t>Установлены общие основания расторжения договора в соответствии жилищным или гражданским законодательством Российской Федерации.</w:t>
            </w:r>
          </w:p>
        </w:tc>
      </w:tr>
      <w:tr w:rsidR="00B0058E" w:rsidTr="00BC6448">
        <w:trPr>
          <w:trHeight w:val="525"/>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B0058E" w:rsidRPr="00C23BE7" w:rsidRDefault="00B0058E" w:rsidP="00BC6448">
            <w:pPr>
              <w:rPr>
                <w:color w:val="111111"/>
                <w:sz w:val="20"/>
                <w:szCs w:val="20"/>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B0058E" w:rsidRPr="00C23BE7" w:rsidRDefault="00B0058E" w:rsidP="00BC6448">
            <w:pPr>
              <w:rPr>
                <w:color w:val="111111"/>
                <w:sz w:val="20"/>
                <w:szCs w:val="20"/>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rsidR="00B0058E" w:rsidRPr="00C23BE7" w:rsidRDefault="00B0058E" w:rsidP="00BC6448">
            <w:pPr>
              <w:rPr>
                <w:color w:val="111111"/>
                <w:sz w:val="20"/>
                <w:szCs w:val="20"/>
              </w:rPr>
            </w:pP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58E" w:rsidRPr="00C23BE7" w:rsidRDefault="00B0058E" w:rsidP="00BC6448">
            <w:pPr>
              <w:rPr>
                <w:color w:val="111111"/>
                <w:sz w:val="20"/>
                <w:szCs w:val="20"/>
              </w:rPr>
            </w:pPr>
            <w:r w:rsidRPr="00C23BE7">
              <w:rPr>
                <w:color w:val="111111"/>
                <w:sz w:val="20"/>
                <w:szCs w:val="20"/>
              </w:rPr>
              <w:t>Потребитель вправе в одностороннем порядке расторгнуть договор при условии отсутствия задолженности по оплате электроэнергии.</w:t>
            </w:r>
          </w:p>
        </w:tc>
      </w:tr>
      <w:tr w:rsidR="00B0058E" w:rsidTr="00BC6448">
        <w:trPr>
          <w:trHeight w:val="1117"/>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B0058E" w:rsidRPr="00C23BE7" w:rsidRDefault="00B0058E" w:rsidP="00BC6448">
            <w:pPr>
              <w:rPr>
                <w:color w:val="111111"/>
                <w:sz w:val="20"/>
                <w:szCs w:val="20"/>
              </w:rPr>
            </w:pP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058E" w:rsidRPr="00C23BE7" w:rsidRDefault="00B0058E" w:rsidP="00BC6448">
            <w:pPr>
              <w:rPr>
                <w:color w:val="111111"/>
                <w:sz w:val="20"/>
                <w:szCs w:val="20"/>
              </w:rPr>
            </w:pPr>
            <w:r w:rsidRPr="00C23BE7">
              <w:rPr>
                <w:color w:val="111111"/>
                <w:sz w:val="20"/>
                <w:szCs w:val="20"/>
              </w:rPr>
              <w:t>7</w:t>
            </w:r>
          </w:p>
        </w:tc>
        <w:tc>
          <w:tcPr>
            <w:tcW w:w="29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058E" w:rsidRPr="00C23BE7" w:rsidRDefault="00B0058E" w:rsidP="00BC6448">
            <w:pPr>
              <w:rPr>
                <w:color w:val="111111"/>
                <w:sz w:val="20"/>
                <w:szCs w:val="20"/>
              </w:rPr>
            </w:pPr>
            <w:r w:rsidRPr="00C23BE7">
              <w:rPr>
                <w:color w:val="111111"/>
                <w:sz w:val="20"/>
                <w:szCs w:val="20"/>
              </w:rPr>
              <w:t>Ответственность сторон</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58E" w:rsidRPr="00C23BE7" w:rsidRDefault="00B0058E" w:rsidP="00BC6448">
            <w:pPr>
              <w:rPr>
                <w:color w:val="111111"/>
                <w:sz w:val="20"/>
                <w:szCs w:val="20"/>
              </w:rPr>
            </w:pPr>
            <w:r w:rsidRPr="00C23BE7">
              <w:rPr>
                <w:color w:val="111111"/>
                <w:sz w:val="20"/>
                <w:szCs w:val="20"/>
              </w:rPr>
              <w:t>ПОТРЕБИТЕЛИ ЭЛЕКТРИЧЕСКОЙ ЭНЕРГИИ, ЗА ИСКЛЮЧЕНИЕМ НАСЕЛЕНИЯ Убытки, причиненные одной из сторон настоящего договора в результате ненадлежащего исполнения своих обязательств другой стороной, подлежат возмещению в порядке, установленном действующим законодательством Российской Федерации.</w:t>
            </w:r>
          </w:p>
        </w:tc>
      </w:tr>
      <w:tr w:rsidR="00B0058E" w:rsidTr="00BC6448">
        <w:trPr>
          <w:trHeight w:val="1557"/>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B0058E" w:rsidRPr="00C23BE7" w:rsidRDefault="00B0058E" w:rsidP="00BC6448">
            <w:pPr>
              <w:rPr>
                <w:color w:val="111111"/>
                <w:sz w:val="20"/>
                <w:szCs w:val="20"/>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B0058E" w:rsidRPr="00C23BE7" w:rsidRDefault="00B0058E" w:rsidP="00BC6448">
            <w:pPr>
              <w:rPr>
                <w:color w:val="111111"/>
                <w:sz w:val="20"/>
                <w:szCs w:val="20"/>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rsidR="00B0058E" w:rsidRPr="00C23BE7" w:rsidRDefault="00B0058E" w:rsidP="00BC6448">
            <w:pPr>
              <w:rPr>
                <w:color w:val="111111"/>
                <w:sz w:val="20"/>
                <w:szCs w:val="20"/>
              </w:rPr>
            </w:pP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58E" w:rsidRPr="00C23BE7" w:rsidRDefault="00B0058E" w:rsidP="00BC6448">
            <w:pPr>
              <w:rPr>
                <w:color w:val="111111"/>
                <w:sz w:val="20"/>
                <w:szCs w:val="20"/>
              </w:rPr>
            </w:pPr>
            <w:r w:rsidRPr="00C23BE7">
              <w:rPr>
                <w:color w:val="111111"/>
                <w:sz w:val="20"/>
                <w:szCs w:val="20"/>
              </w:rPr>
              <w:t>В случае перерывов энергоснабжения по вине Гарантирующего поставщика последний возмещает причиненный Потребителю реальный ущерб (ст. 547 ГК РФ) в полном объеме, за исключением случаев, предусмотренных договором. При этом Потребитель обязан немедленно после наступления указанных случаев направить в адрес Гарантирующего поставщика письменно оформленную претензию в целях создания комиссии по рассмотрению происшедших случаев и оценке ущерба. Взыскание убытков в виде упущенной выгоды не допускается.</w:t>
            </w:r>
          </w:p>
        </w:tc>
      </w:tr>
      <w:tr w:rsidR="00B0058E" w:rsidTr="00BC6448">
        <w:trPr>
          <w:trHeight w:val="1409"/>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B0058E" w:rsidRPr="00C23BE7" w:rsidRDefault="00B0058E" w:rsidP="00BC6448">
            <w:pPr>
              <w:rPr>
                <w:color w:val="111111"/>
                <w:sz w:val="20"/>
                <w:szCs w:val="20"/>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B0058E" w:rsidRPr="00C23BE7" w:rsidRDefault="00B0058E" w:rsidP="00BC6448">
            <w:pPr>
              <w:rPr>
                <w:color w:val="111111"/>
                <w:sz w:val="20"/>
                <w:szCs w:val="20"/>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rsidR="00B0058E" w:rsidRPr="00C23BE7" w:rsidRDefault="00B0058E" w:rsidP="00BC6448">
            <w:pPr>
              <w:rPr>
                <w:color w:val="111111"/>
                <w:sz w:val="20"/>
                <w:szCs w:val="20"/>
              </w:rPr>
            </w:pP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58E" w:rsidRPr="00C23BE7" w:rsidRDefault="00B0058E" w:rsidP="00BC6448">
            <w:pPr>
              <w:rPr>
                <w:color w:val="111111"/>
                <w:sz w:val="20"/>
                <w:szCs w:val="20"/>
              </w:rPr>
            </w:pPr>
            <w:r w:rsidRPr="00C23BE7">
              <w:rPr>
                <w:color w:val="111111"/>
                <w:sz w:val="20"/>
                <w:szCs w:val="20"/>
              </w:rPr>
              <w:t>В случае неготовности Потребителя к ограничению режима потребления ограничения вводятся Гарантирующим поставщиком (Сетевой организацией) с соблюдением требований Основных положений функционирования розничных рынков. При этом ответственность за убытки перед третьими лицами, надлежащим образом исполняющими свои обязательства по оплате электрической энергии, возникшие в связи с введением ограничения режима потребления, несет Потребитель.</w:t>
            </w:r>
          </w:p>
        </w:tc>
      </w:tr>
      <w:tr w:rsidR="00B0058E" w:rsidTr="00BC6448">
        <w:trPr>
          <w:trHeight w:val="1260"/>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B0058E" w:rsidRPr="00C23BE7" w:rsidRDefault="00B0058E" w:rsidP="00BC6448">
            <w:pPr>
              <w:rPr>
                <w:color w:val="111111"/>
                <w:sz w:val="20"/>
                <w:szCs w:val="20"/>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B0058E" w:rsidRPr="00C23BE7" w:rsidRDefault="00B0058E" w:rsidP="00BC6448">
            <w:pPr>
              <w:rPr>
                <w:color w:val="111111"/>
                <w:sz w:val="20"/>
                <w:szCs w:val="20"/>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rsidR="00B0058E" w:rsidRPr="00C23BE7" w:rsidRDefault="00B0058E" w:rsidP="00BC6448">
            <w:pPr>
              <w:rPr>
                <w:color w:val="111111"/>
                <w:sz w:val="20"/>
                <w:szCs w:val="20"/>
              </w:rPr>
            </w:pP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58E" w:rsidRPr="00C23BE7" w:rsidRDefault="00B0058E" w:rsidP="00BC6448">
            <w:pPr>
              <w:rPr>
                <w:color w:val="111111"/>
                <w:sz w:val="20"/>
                <w:szCs w:val="20"/>
              </w:rPr>
            </w:pPr>
            <w:r w:rsidRPr="00C23BE7">
              <w:rPr>
                <w:color w:val="111111"/>
                <w:sz w:val="20"/>
                <w:szCs w:val="20"/>
              </w:rPr>
              <w:t>Подача электроэнергии после прекращения или ограничения за неплатежи возобновляется в договорном объеме только после 100 % погашения текущей и части реструктуризированной задолженности, в соответствии с Графиком ее погашения перед Гарантирующим поставщиком, и возмещения Гарантирующему поставщику затрат, понесенных по прекращению, ограничению и возобновлению подачи электроэнергии, на основании калькуляции затрат.</w:t>
            </w:r>
          </w:p>
        </w:tc>
      </w:tr>
      <w:tr w:rsidR="00B0058E" w:rsidTr="00BC6448">
        <w:trPr>
          <w:trHeight w:val="839"/>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B0058E" w:rsidRPr="00C23BE7" w:rsidRDefault="00B0058E" w:rsidP="00BC6448">
            <w:pPr>
              <w:rPr>
                <w:color w:val="111111"/>
                <w:sz w:val="20"/>
                <w:szCs w:val="20"/>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B0058E" w:rsidRPr="00C23BE7" w:rsidRDefault="00B0058E" w:rsidP="00BC6448">
            <w:pPr>
              <w:rPr>
                <w:color w:val="111111"/>
                <w:sz w:val="20"/>
                <w:szCs w:val="20"/>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rsidR="00B0058E" w:rsidRPr="00C23BE7" w:rsidRDefault="00B0058E" w:rsidP="00BC6448">
            <w:pPr>
              <w:rPr>
                <w:color w:val="111111"/>
                <w:sz w:val="20"/>
                <w:szCs w:val="20"/>
              </w:rPr>
            </w:pP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58E" w:rsidRPr="00C23BE7" w:rsidRDefault="00B0058E" w:rsidP="00BC6448">
            <w:pPr>
              <w:rPr>
                <w:color w:val="111111"/>
                <w:sz w:val="20"/>
                <w:szCs w:val="20"/>
              </w:rPr>
            </w:pPr>
            <w:r w:rsidRPr="00C23BE7">
              <w:rPr>
                <w:color w:val="111111"/>
                <w:sz w:val="20"/>
                <w:szCs w:val="20"/>
              </w:rPr>
              <w:t>Стороны освобождаются от ответственности за все или часть взятых на себя обязательств по договору в случае возникновения непредвиденных и независящих от их воли обстоятельств (форс-мажорные обстоятельства), а также в случаях:</w:t>
            </w:r>
          </w:p>
        </w:tc>
      </w:tr>
      <w:tr w:rsidR="00B0058E" w:rsidTr="00BC6448">
        <w:trPr>
          <w:trHeight w:val="255"/>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B0058E" w:rsidRPr="00C23BE7" w:rsidRDefault="00B0058E" w:rsidP="00BC6448">
            <w:pPr>
              <w:rPr>
                <w:color w:val="111111"/>
                <w:sz w:val="20"/>
                <w:szCs w:val="20"/>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B0058E" w:rsidRPr="00C23BE7" w:rsidRDefault="00B0058E" w:rsidP="00BC6448">
            <w:pPr>
              <w:rPr>
                <w:color w:val="111111"/>
                <w:sz w:val="20"/>
                <w:szCs w:val="20"/>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rsidR="00B0058E" w:rsidRPr="00C23BE7" w:rsidRDefault="00B0058E" w:rsidP="00BC6448">
            <w:pPr>
              <w:rPr>
                <w:color w:val="111111"/>
                <w:sz w:val="20"/>
                <w:szCs w:val="20"/>
              </w:rPr>
            </w:pP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58E" w:rsidRPr="00C23BE7" w:rsidRDefault="00B0058E" w:rsidP="00BC6448">
            <w:pPr>
              <w:rPr>
                <w:color w:val="111111"/>
                <w:sz w:val="20"/>
                <w:szCs w:val="20"/>
              </w:rPr>
            </w:pPr>
            <w:r w:rsidRPr="00C23BE7">
              <w:rPr>
                <w:color w:val="111111"/>
                <w:sz w:val="20"/>
                <w:szCs w:val="20"/>
              </w:rPr>
              <w:t>- военных действий любого характера;</w:t>
            </w:r>
          </w:p>
        </w:tc>
      </w:tr>
      <w:tr w:rsidR="00B0058E" w:rsidTr="00BC6448">
        <w:trPr>
          <w:trHeight w:val="1861"/>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B0058E" w:rsidRPr="00C23BE7" w:rsidRDefault="00B0058E" w:rsidP="00BC6448">
            <w:pPr>
              <w:rPr>
                <w:color w:val="111111"/>
                <w:sz w:val="20"/>
                <w:szCs w:val="20"/>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B0058E" w:rsidRPr="00C23BE7" w:rsidRDefault="00B0058E" w:rsidP="00BC6448">
            <w:pPr>
              <w:rPr>
                <w:color w:val="111111"/>
                <w:sz w:val="20"/>
                <w:szCs w:val="20"/>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rsidR="00B0058E" w:rsidRPr="00C23BE7" w:rsidRDefault="00B0058E" w:rsidP="00BC6448">
            <w:pPr>
              <w:rPr>
                <w:color w:val="111111"/>
                <w:sz w:val="20"/>
                <w:szCs w:val="20"/>
              </w:rPr>
            </w:pP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58E" w:rsidRPr="00C23BE7" w:rsidRDefault="00B0058E" w:rsidP="00BC6448">
            <w:pPr>
              <w:rPr>
                <w:color w:val="111111"/>
                <w:sz w:val="20"/>
                <w:szCs w:val="20"/>
              </w:rPr>
            </w:pPr>
            <w:r w:rsidRPr="00C23BE7">
              <w:rPr>
                <w:color w:val="111111"/>
                <w:sz w:val="20"/>
                <w:szCs w:val="20"/>
              </w:rPr>
              <w:t xml:space="preserve">- принятия государственными органами решений, препятствующих выполнению обязательств по настоящему договору. В силу п.2 ст.37 ФЗ "Об электроэнергетике" потребитель или покупатель электрической энергии, несвоевременно и (или) не полностью оплатившие электрическую энергию гарантирующему поставщику, обязаны уплатить ему пени в размере одной </w:t>
            </w:r>
            <w:proofErr w:type="spellStart"/>
            <w:r w:rsidRPr="00C23BE7">
              <w:rPr>
                <w:color w:val="111111"/>
                <w:sz w:val="20"/>
                <w:szCs w:val="20"/>
              </w:rPr>
              <w:t>стотридцатой</w:t>
            </w:r>
            <w:proofErr w:type="spellEnd"/>
            <w:r w:rsidRPr="00C23BE7">
              <w:rPr>
                <w:color w:val="111111"/>
                <w:sz w:val="20"/>
                <w:szCs w:val="20"/>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tc>
      </w:tr>
      <w:tr w:rsidR="00B0058E" w:rsidTr="00BC6448">
        <w:trPr>
          <w:trHeight w:val="2535"/>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B0058E" w:rsidRPr="00C23BE7" w:rsidRDefault="00B0058E" w:rsidP="00BC6448">
            <w:pPr>
              <w:rPr>
                <w:color w:val="111111"/>
                <w:sz w:val="20"/>
                <w:szCs w:val="20"/>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B0058E" w:rsidRPr="00C23BE7" w:rsidRDefault="00B0058E" w:rsidP="00BC6448">
            <w:pPr>
              <w:rPr>
                <w:color w:val="111111"/>
                <w:sz w:val="20"/>
                <w:szCs w:val="20"/>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rsidR="00B0058E" w:rsidRPr="00C23BE7" w:rsidRDefault="00B0058E" w:rsidP="00BC6448">
            <w:pPr>
              <w:rPr>
                <w:color w:val="111111"/>
                <w:sz w:val="20"/>
                <w:szCs w:val="20"/>
              </w:rPr>
            </w:pP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58E" w:rsidRPr="00C23BE7" w:rsidRDefault="00B0058E" w:rsidP="00BC6448">
            <w:pPr>
              <w:rPr>
                <w:color w:val="111111"/>
                <w:sz w:val="20"/>
                <w:szCs w:val="20"/>
              </w:rPr>
            </w:pPr>
            <w:r w:rsidRPr="00C23BE7">
              <w:rPr>
                <w:color w:val="111111"/>
                <w:sz w:val="20"/>
                <w:szCs w:val="20"/>
              </w:rP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электрическую энергию для целей предоставления коммунальных услуг, в случае несвоевременной и (или) неполной оплаты электрической энергии уплачивают гарантирующему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C23BE7">
              <w:rPr>
                <w:color w:val="111111"/>
                <w:sz w:val="20"/>
                <w:szCs w:val="20"/>
              </w:rPr>
              <w:t>стотридцатой</w:t>
            </w:r>
            <w:proofErr w:type="spellEnd"/>
            <w:r w:rsidRPr="00C23BE7">
              <w:rPr>
                <w:color w:val="111111"/>
                <w:sz w:val="20"/>
                <w:szCs w:val="20"/>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tc>
      </w:tr>
      <w:tr w:rsidR="00B0058E" w:rsidTr="00BC6448">
        <w:trPr>
          <w:trHeight w:val="5370"/>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B0058E" w:rsidRPr="00C23BE7" w:rsidRDefault="00B0058E" w:rsidP="00BC6448">
            <w:pPr>
              <w:rPr>
                <w:color w:val="111111"/>
                <w:sz w:val="20"/>
                <w:szCs w:val="20"/>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B0058E" w:rsidRPr="00C23BE7" w:rsidRDefault="00B0058E" w:rsidP="00BC6448">
            <w:pPr>
              <w:rPr>
                <w:color w:val="111111"/>
                <w:sz w:val="20"/>
                <w:szCs w:val="20"/>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rsidR="00B0058E" w:rsidRPr="00C23BE7" w:rsidRDefault="00B0058E" w:rsidP="00BC6448">
            <w:pPr>
              <w:rPr>
                <w:color w:val="111111"/>
                <w:sz w:val="20"/>
                <w:szCs w:val="20"/>
              </w:rPr>
            </w:pP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58E" w:rsidRPr="00C23BE7" w:rsidRDefault="00B0058E" w:rsidP="00BC6448">
            <w:pPr>
              <w:rPr>
                <w:color w:val="111111"/>
                <w:sz w:val="20"/>
                <w:szCs w:val="20"/>
              </w:rPr>
            </w:pPr>
            <w:r w:rsidRPr="00C23BE7">
              <w:rPr>
                <w:color w:val="111111"/>
                <w:sz w:val="20"/>
                <w:szCs w:val="20"/>
              </w:rPr>
              <w:t xml:space="preserve">Управляющие организации, приобретающие электрическую энергию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электрической энергии уплачивают гарантирующему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w:t>
            </w:r>
            <w:proofErr w:type="spellStart"/>
            <w:r w:rsidRPr="00C23BE7">
              <w:rPr>
                <w:color w:val="111111"/>
                <w:sz w:val="20"/>
                <w:szCs w:val="20"/>
              </w:rPr>
              <w:t>стосемидесятой</w:t>
            </w:r>
            <w:proofErr w:type="spellEnd"/>
            <w:r w:rsidRPr="00C23BE7">
              <w:rPr>
                <w:color w:val="111111"/>
                <w:sz w:val="20"/>
                <w:szCs w:val="20"/>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C23BE7">
              <w:rPr>
                <w:color w:val="111111"/>
                <w:sz w:val="20"/>
                <w:szCs w:val="20"/>
              </w:rPr>
              <w:t>стотридцатой</w:t>
            </w:r>
            <w:proofErr w:type="spellEnd"/>
            <w:r w:rsidRPr="00C23BE7">
              <w:rPr>
                <w:color w:val="111111"/>
                <w:sz w:val="20"/>
                <w:szCs w:val="20"/>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tc>
      </w:tr>
      <w:tr w:rsidR="00B0058E" w:rsidTr="00BC6448">
        <w:trPr>
          <w:trHeight w:val="255"/>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B0058E" w:rsidRPr="00C23BE7" w:rsidRDefault="00B0058E" w:rsidP="00BC6448">
            <w:pPr>
              <w:rPr>
                <w:color w:val="111111"/>
                <w:sz w:val="20"/>
                <w:szCs w:val="20"/>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B0058E" w:rsidRPr="00C23BE7" w:rsidRDefault="00B0058E" w:rsidP="00BC6448">
            <w:pPr>
              <w:rPr>
                <w:color w:val="111111"/>
                <w:sz w:val="20"/>
                <w:szCs w:val="20"/>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rsidR="00B0058E" w:rsidRPr="00C23BE7" w:rsidRDefault="00B0058E" w:rsidP="00BC6448">
            <w:pPr>
              <w:rPr>
                <w:color w:val="111111"/>
                <w:sz w:val="20"/>
                <w:szCs w:val="20"/>
              </w:rPr>
            </w:pP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58E" w:rsidRPr="00C23BE7" w:rsidRDefault="00B0058E" w:rsidP="00BC6448">
            <w:pPr>
              <w:rPr>
                <w:color w:val="111111"/>
                <w:sz w:val="20"/>
                <w:szCs w:val="20"/>
              </w:rPr>
            </w:pPr>
            <w:r w:rsidRPr="00C23BE7">
              <w:rPr>
                <w:color w:val="111111"/>
                <w:sz w:val="20"/>
                <w:szCs w:val="20"/>
              </w:rPr>
              <w:t>НАСЕЛЕНИЕ И ПРИРАВНЕННЫЕ К НЕМУ КАТЕГОРИИ ПОТРЕБИТЕЛЕЙ</w:t>
            </w:r>
          </w:p>
        </w:tc>
      </w:tr>
      <w:tr w:rsidR="00B0058E" w:rsidTr="00BC6448">
        <w:trPr>
          <w:trHeight w:val="510"/>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B0058E" w:rsidRPr="00C23BE7" w:rsidRDefault="00B0058E" w:rsidP="00BC6448">
            <w:pPr>
              <w:rPr>
                <w:color w:val="111111"/>
                <w:sz w:val="20"/>
                <w:szCs w:val="20"/>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B0058E" w:rsidRPr="00C23BE7" w:rsidRDefault="00B0058E" w:rsidP="00BC6448">
            <w:pPr>
              <w:rPr>
                <w:color w:val="111111"/>
                <w:sz w:val="20"/>
                <w:szCs w:val="20"/>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rsidR="00B0058E" w:rsidRPr="00C23BE7" w:rsidRDefault="00B0058E" w:rsidP="00BC6448">
            <w:pPr>
              <w:rPr>
                <w:color w:val="111111"/>
                <w:sz w:val="20"/>
                <w:szCs w:val="20"/>
              </w:rPr>
            </w:pP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58E" w:rsidRPr="00C23BE7" w:rsidRDefault="00B0058E" w:rsidP="00BC6448">
            <w:pPr>
              <w:rPr>
                <w:color w:val="111111"/>
                <w:sz w:val="20"/>
                <w:szCs w:val="20"/>
              </w:rPr>
            </w:pPr>
            <w:r w:rsidRPr="00C23BE7">
              <w:rPr>
                <w:color w:val="111111"/>
                <w:sz w:val="20"/>
                <w:szCs w:val="20"/>
              </w:rPr>
              <w:t>Ответственность сторон по договору предусмотрена в соответствии с действующим гражданским и жилищным законодательством.</w:t>
            </w:r>
          </w:p>
        </w:tc>
      </w:tr>
      <w:tr w:rsidR="00B0058E" w:rsidTr="00BC6448">
        <w:trPr>
          <w:trHeight w:val="3669"/>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B0058E" w:rsidRPr="00C23BE7" w:rsidRDefault="00B0058E" w:rsidP="00BC6448">
            <w:pPr>
              <w:rPr>
                <w:color w:val="111111"/>
                <w:sz w:val="20"/>
                <w:szCs w:val="20"/>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B0058E" w:rsidRPr="00C23BE7" w:rsidRDefault="00B0058E" w:rsidP="00BC6448">
            <w:pPr>
              <w:rPr>
                <w:color w:val="111111"/>
                <w:sz w:val="20"/>
                <w:szCs w:val="20"/>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rsidR="00B0058E" w:rsidRPr="00C23BE7" w:rsidRDefault="00B0058E" w:rsidP="00BC6448">
            <w:pPr>
              <w:rPr>
                <w:color w:val="111111"/>
                <w:sz w:val="20"/>
                <w:szCs w:val="20"/>
              </w:rPr>
            </w:pP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58E" w:rsidRPr="00C23BE7" w:rsidRDefault="00B0058E" w:rsidP="00BC6448">
            <w:pPr>
              <w:rPr>
                <w:color w:val="111111"/>
                <w:sz w:val="20"/>
                <w:szCs w:val="20"/>
              </w:rPr>
            </w:pPr>
            <w:r w:rsidRPr="00C23BE7">
              <w:rPr>
                <w:color w:val="111111"/>
                <w:sz w:val="20"/>
                <w:szCs w:val="20"/>
              </w:rPr>
              <w:t xml:space="preserve">В случае неисполнения сторонами обязательств по настоящему Договору споры разрешаются в соответствии с законодательством Российской Федерации. В силу п.14 ст.155 ЖК РФ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C23BE7">
              <w:rPr>
                <w:color w:val="111111"/>
                <w:sz w:val="20"/>
                <w:szCs w:val="20"/>
              </w:rPr>
              <w:t>стотридцатой</w:t>
            </w:r>
            <w:proofErr w:type="spellEnd"/>
            <w:r w:rsidRPr="00C23BE7">
              <w:rPr>
                <w:color w:val="111111"/>
                <w:sz w:val="20"/>
                <w:szCs w:val="20"/>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частью размеров пеней не допускается.</w:t>
            </w:r>
          </w:p>
        </w:tc>
      </w:tr>
      <w:tr w:rsidR="00B0058E" w:rsidTr="00BC6448">
        <w:trPr>
          <w:trHeight w:val="843"/>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B0058E" w:rsidRPr="00C23BE7" w:rsidRDefault="00B0058E" w:rsidP="00BC6448">
            <w:pPr>
              <w:rPr>
                <w:color w:val="111111"/>
                <w:sz w:val="20"/>
                <w:szCs w:val="20"/>
              </w:rPr>
            </w:pP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058E" w:rsidRPr="00C23BE7" w:rsidRDefault="00B0058E" w:rsidP="00BC6448">
            <w:pPr>
              <w:rPr>
                <w:color w:val="111111"/>
                <w:sz w:val="20"/>
                <w:szCs w:val="20"/>
              </w:rPr>
            </w:pPr>
            <w:r w:rsidRPr="00C23BE7">
              <w:rPr>
                <w:color w:val="111111"/>
                <w:sz w:val="20"/>
                <w:szCs w:val="20"/>
              </w:rPr>
              <w:t>8</w:t>
            </w:r>
          </w:p>
        </w:tc>
        <w:tc>
          <w:tcPr>
            <w:tcW w:w="29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058E" w:rsidRPr="00C23BE7" w:rsidRDefault="00B0058E" w:rsidP="00BC6448">
            <w:pPr>
              <w:rPr>
                <w:color w:val="111111"/>
                <w:sz w:val="20"/>
                <w:szCs w:val="20"/>
              </w:rPr>
            </w:pPr>
            <w:r w:rsidRPr="00C23BE7">
              <w:rPr>
                <w:color w:val="111111"/>
                <w:sz w:val="20"/>
                <w:szCs w:val="20"/>
              </w:rPr>
              <w:t>Иная информация, являющаяся существенной для потребителей</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58E" w:rsidRPr="00C23BE7" w:rsidRDefault="00B0058E" w:rsidP="00BC6448">
            <w:pPr>
              <w:rPr>
                <w:color w:val="111111"/>
                <w:sz w:val="20"/>
                <w:szCs w:val="20"/>
              </w:rPr>
            </w:pPr>
            <w:r w:rsidRPr="00C23BE7">
              <w:rPr>
                <w:color w:val="111111"/>
                <w:sz w:val="20"/>
                <w:szCs w:val="20"/>
              </w:rPr>
              <w:t>"Граждане, приобретающие электрическую энергию у гарантирующего поставщика, 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tc>
      </w:tr>
      <w:tr w:rsidR="00B0058E" w:rsidTr="00BC6448">
        <w:trPr>
          <w:trHeight w:val="982"/>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B0058E" w:rsidRPr="00C23BE7" w:rsidRDefault="00B0058E" w:rsidP="00BC6448">
            <w:pPr>
              <w:rPr>
                <w:color w:val="111111"/>
                <w:sz w:val="20"/>
                <w:szCs w:val="20"/>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B0058E" w:rsidRPr="00C23BE7" w:rsidRDefault="00B0058E" w:rsidP="00BC6448">
            <w:pPr>
              <w:rPr>
                <w:color w:val="111111"/>
                <w:sz w:val="20"/>
                <w:szCs w:val="20"/>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rsidR="00B0058E" w:rsidRPr="00C23BE7" w:rsidRDefault="00B0058E" w:rsidP="00BC6448">
            <w:pPr>
              <w:rPr>
                <w:color w:val="111111"/>
                <w:sz w:val="20"/>
                <w:szCs w:val="20"/>
              </w:rPr>
            </w:pP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58E" w:rsidRPr="00C23BE7" w:rsidRDefault="00B0058E" w:rsidP="00BC6448">
            <w:pPr>
              <w:rPr>
                <w:color w:val="111111"/>
                <w:sz w:val="20"/>
                <w:szCs w:val="20"/>
              </w:rPr>
            </w:pPr>
            <w:r w:rsidRPr="00C23BE7">
              <w:rPr>
                <w:color w:val="111111"/>
                <w:sz w:val="20"/>
                <w:szCs w:val="20"/>
              </w:rPr>
              <w:t>Исполнители коммунальной услуги обязаны вносить в адрес гарантирующего поставщика оплату стоимости поставленной за расчетный период электрической энергии (мощности) до 15-го числа месяца, следующего за расчетным периодом, если соглашением с гарантирующим поставщиком не предусмотрен более поздний срок оплаты.</w:t>
            </w:r>
          </w:p>
        </w:tc>
      </w:tr>
      <w:tr w:rsidR="00B0058E" w:rsidTr="00BC6448">
        <w:trPr>
          <w:trHeight w:val="698"/>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B0058E" w:rsidRPr="00C23BE7" w:rsidRDefault="00B0058E" w:rsidP="00BC6448">
            <w:pPr>
              <w:rPr>
                <w:color w:val="111111"/>
                <w:sz w:val="20"/>
                <w:szCs w:val="20"/>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B0058E" w:rsidRPr="00C23BE7" w:rsidRDefault="00B0058E" w:rsidP="00BC6448">
            <w:pPr>
              <w:rPr>
                <w:color w:val="111111"/>
                <w:sz w:val="20"/>
                <w:szCs w:val="20"/>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rsidR="00B0058E" w:rsidRPr="00C23BE7" w:rsidRDefault="00B0058E" w:rsidP="00BC6448">
            <w:pPr>
              <w:rPr>
                <w:color w:val="111111"/>
                <w:sz w:val="20"/>
                <w:szCs w:val="20"/>
              </w:rPr>
            </w:pP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58E" w:rsidRPr="00C23BE7" w:rsidRDefault="00B0058E" w:rsidP="00BC6448">
            <w:pPr>
              <w:rPr>
                <w:color w:val="111111"/>
                <w:sz w:val="20"/>
                <w:szCs w:val="20"/>
              </w:rPr>
            </w:pPr>
            <w:r w:rsidRPr="00C23BE7">
              <w:rPr>
                <w:color w:val="111111"/>
                <w:sz w:val="20"/>
                <w:szCs w:val="20"/>
              </w:rPr>
              <w:t>Покупатели, приобретающие электрическую энергию для ее поставки населению, обязаны оплачивать стоимость электрической энергии (мощности) в объеме потребления населения за расчетный период до 15-го числа месяца, следующего за расчетным периодом.</w:t>
            </w:r>
          </w:p>
        </w:tc>
      </w:tr>
      <w:tr w:rsidR="00B0058E" w:rsidTr="00BC6448">
        <w:trPr>
          <w:trHeight w:val="525"/>
        </w:trPr>
        <w:tc>
          <w:tcPr>
            <w:tcW w:w="1583" w:type="dxa"/>
            <w:vMerge/>
            <w:tcBorders>
              <w:top w:val="single" w:sz="4" w:space="0" w:color="auto"/>
              <w:left w:val="single" w:sz="4" w:space="0" w:color="auto"/>
              <w:bottom w:val="single" w:sz="4" w:space="0" w:color="auto"/>
              <w:right w:val="single" w:sz="4" w:space="0" w:color="auto"/>
            </w:tcBorders>
            <w:vAlign w:val="center"/>
            <w:hideMark/>
          </w:tcPr>
          <w:p w:rsidR="00B0058E" w:rsidRPr="00C23BE7" w:rsidRDefault="00B0058E" w:rsidP="00BC6448">
            <w:pPr>
              <w:rPr>
                <w:color w:val="111111"/>
                <w:sz w:val="20"/>
                <w:szCs w:val="20"/>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B0058E" w:rsidRPr="00C23BE7" w:rsidRDefault="00B0058E" w:rsidP="00BC6448">
            <w:pPr>
              <w:rPr>
                <w:color w:val="111111"/>
                <w:sz w:val="20"/>
                <w:szCs w:val="20"/>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rsidR="00B0058E" w:rsidRPr="00C23BE7" w:rsidRDefault="00B0058E" w:rsidP="00BC6448">
            <w:pPr>
              <w:rPr>
                <w:color w:val="111111"/>
                <w:sz w:val="20"/>
                <w:szCs w:val="20"/>
              </w:rPr>
            </w:pP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58E" w:rsidRPr="00C23BE7" w:rsidRDefault="00B0058E" w:rsidP="00BC6448">
            <w:pPr>
              <w:rPr>
                <w:color w:val="111111"/>
                <w:sz w:val="20"/>
                <w:szCs w:val="20"/>
              </w:rPr>
            </w:pPr>
            <w:r w:rsidRPr="00C23BE7">
              <w:rPr>
                <w:color w:val="111111"/>
                <w:sz w:val="20"/>
                <w:szCs w:val="20"/>
              </w:rPr>
              <w:t>Расчетным периодом в соответствии с договором энергоснабжения является 1 календарный месяц."</w:t>
            </w:r>
          </w:p>
        </w:tc>
      </w:tr>
    </w:tbl>
    <w:p w:rsidR="00B0058E" w:rsidRDefault="00B0058E" w:rsidP="00B0058E"/>
    <w:p w:rsidR="00B0058E" w:rsidRDefault="00B0058E" w:rsidP="00B0058E"/>
    <w:p w:rsidR="000D6454" w:rsidRDefault="000D6454"/>
    <w:sectPr w:rsidR="000D6454" w:rsidSect="00B0058E">
      <w:pgSz w:w="16838" w:h="11906" w:orient="landscape"/>
      <w:pgMar w:top="567" w:right="567"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058E"/>
    <w:rsid w:val="000D6454"/>
    <w:rsid w:val="000F03B3"/>
    <w:rsid w:val="00720841"/>
    <w:rsid w:val="007B1EBC"/>
    <w:rsid w:val="007E6B19"/>
    <w:rsid w:val="009519E7"/>
    <w:rsid w:val="00A27ABE"/>
    <w:rsid w:val="00B0058E"/>
    <w:rsid w:val="00C23B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5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2175</Words>
  <Characters>12401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BarsukovaYV</cp:lastModifiedBy>
  <cp:revision>5</cp:revision>
  <dcterms:created xsi:type="dcterms:W3CDTF">2019-11-23T08:22:00Z</dcterms:created>
  <dcterms:modified xsi:type="dcterms:W3CDTF">2019-11-26T01:44:00Z</dcterms:modified>
</cp:coreProperties>
</file>