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p>
    <w:p w:rsidR="00B34E86" w:rsidRDefault="00B34E86" w:rsidP="00B34E86">
      <w:pPr>
        <w:spacing w:after="120"/>
        <w:jc w:val="center"/>
        <w:rPr>
          <w:b/>
          <w:bCs/>
          <w:spacing w:val="50"/>
          <w:sz w:val="26"/>
          <w:szCs w:val="26"/>
        </w:rPr>
      </w:pPr>
      <w:r>
        <w:rPr>
          <w:b/>
          <w:bCs/>
          <w:spacing w:val="50"/>
          <w:sz w:val="26"/>
          <w:szCs w:val="26"/>
        </w:rPr>
        <w:t>ПРЕДЛОЖЕНИЕ</w:t>
      </w:r>
    </w:p>
    <w:p w:rsidR="00B34E86" w:rsidRDefault="00B34E86" w:rsidP="00B34E86">
      <w:pPr>
        <w:jc w:val="center"/>
        <w:rPr>
          <w:b/>
          <w:bCs/>
          <w:sz w:val="26"/>
          <w:szCs w:val="26"/>
        </w:rPr>
      </w:pPr>
      <w:r>
        <w:rPr>
          <w:b/>
          <w:bCs/>
          <w:sz w:val="26"/>
          <w:szCs w:val="26"/>
        </w:rPr>
        <w:t xml:space="preserve">о размере цен (тарифов), </w:t>
      </w:r>
    </w:p>
    <w:p w:rsidR="00B34E86" w:rsidRDefault="00B34E86" w:rsidP="00B34E86">
      <w:pPr>
        <w:jc w:val="center"/>
        <w:rPr>
          <w:b/>
          <w:bCs/>
          <w:sz w:val="26"/>
          <w:szCs w:val="26"/>
        </w:rPr>
      </w:pPr>
      <w:r>
        <w:rPr>
          <w:b/>
          <w:bCs/>
          <w:sz w:val="26"/>
          <w:szCs w:val="26"/>
        </w:rPr>
        <w:t>долгосрочных параметров регулирования</w:t>
      </w:r>
    </w:p>
    <w:p w:rsidR="00B34E86" w:rsidRDefault="00B34E86" w:rsidP="00B34E86">
      <w:pPr>
        <w:jc w:val="center"/>
        <w:rPr>
          <w:b/>
          <w:bCs/>
          <w:sz w:val="26"/>
          <w:szCs w:val="26"/>
        </w:rPr>
      </w:pPr>
      <w:r>
        <w:rPr>
          <w:b/>
          <w:bCs/>
          <w:sz w:val="26"/>
          <w:szCs w:val="26"/>
        </w:rPr>
        <w:t>на электрическую энергию</w:t>
      </w:r>
    </w:p>
    <w:tbl>
      <w:tblPr>
        <w:tblW w:w="0" w:type="auto"/>
        <w:jc w:val="center"/>
        <w:tblLayout w:type="fixed"/>
        <w:tblCellMar>
          <w:left w:w="28" w:type="dxa"/>
          <w:right w:w="28" w:type="dxa"/>
        </w:tblCellMar>
        <w:tblLook w:val="0000" w:firstRow="0" w:lastRow="0" w:firstColumn="0" w:lastColumn="0" w:noHBand="0" w:noVBand="0"/>
      </w:tblPr>
      <w:tblGrid>
        <w:gridCol w:w="1000"/>
        <w:gridCol w:w="2262"/>
        <w:gridCol w:w="541"/>
      </w:tblGrid>
      <w:tr w:rsidR="00B34E86" w:rsidRPr="000D39C8" w:rsidTr="00B34E86">
        <w:trPr>
          <w:jc w:val="center"/>
        </w:trPr>
        <w:tc>
          <w:tcPr>
            <w:tcW w:w="1000" w:type="dxa"/>
            <w:tcBorders>
              <w:top w:val="nil"/>
              <w:left w:val="nil"/>
              <w:bottom w:val="nil"/>
              <w:right w:val="nil"/>
            </w:tcBorders>
            <w:vAlign w:val="bottom"/>
          </w:tcPr>
          <w:p w:rsidR="00B34E86" w:rsidRPr="000D39C8" w:rsidRDefault="00B34E86" w:rsidP="00B34E86">
            <w:pPr>
              <w:jc w:val="right"/>
              <w:rPr>
                <w:sz w:val="26"/>
                <w:szCs w:val="26"/>
              </w:rPr>
            </w:pPr>
            <w:r w:rsidRPr="000D39C8">
              <w:rPr>
                <w:sz w:val="26"/>
                <w:szCs w:val="26"/>
              </w:rPr>
              <w:t>на</w:t>
            </w:r>
          </w:p>
        </w:tc>
        <w:tc>
          <w:tcPr>
            <w:tcW w:w="2262" w:type="dxa"/>
            <w:tcBorders>
              <w:top w:val="nil"/>
              <w:left w:val="nil"/>
              <w:bottom w:val="single" w:sz="4" w:space="0" w:color="auto"/>
              <w:right w:val="nil"/>
            </w:tcBorders>
            <w:vAlign w:val="bottom"/>
          </w:tcPr>
          <w:p w:rsidR="00B34E86" w:rsidRPr="00B34E86" w:rsidRDefault="00B34E86" w:rsidP="00B34E86">
            <w:pPr>
              <w:jc w:val="center"/>
              <w:rPr>
                <w:b/>
                <w:sz w:val="26"/>
                <w:szCs w:val="26"/>
              </w:rPr>
            </w:pPr>
            <w:r w:rsidRPr="00B34E86">
              <w:rPr>
                <w:b/>
                <w:sz w:val="26"/>
                <w:szCs w:val="26"/>
              </w:rPr>
              <w:t>2018</w:t>
            </w:r>
          </w:p>
        </w:tc>
        <w:tc>
          <w:tcPr>
            <w:tcW w:w="541" w:type="dxa"/>
            <w:tcBorders>
              <w:top w:val="nil"/>
              <w:left w:val="nil"/>
              <w:bottom w:val="nil"/>
              <w:right w:val="nil"/>
            </w:tcBorders>
            <w:vAlign w:val="bottom"/>
          </w:tcPr>
          <w:p w:rsidR="00B34E86" w:rsidRPr="000D39C8" w:rsidRDefault="00B34E86" w:rsidP="00B34E86">
            <w:pPr>
              <w:ind w:left="57"/>
              <w:rPr>
                <w:sz w:val="26"/>
                <w:szCs w:val="26"/>
              </w:rPr>
            </w:pPr>
            <w:r w:rsidRPr="000D39C8">
              <w:rPr>
                <w:sz w:val="26"/>
                <w:szCs w:val="26"/>
              </w:rPr>
              <w:t>год</w:t>
            </w:r>
          </w:p>
        </w:tc>
      </w:tr>
      <w:tr w:rsidR="00B34E86" w:rsidRPr="000D39C8" w:rsidTr="00B34E86">
        <w:trPr>
          <w:jc w:val="center"/>
        </w:trPr>
        <w:tc>
          <w:tcPr>
            <w:tcW w:w="1000" w:type="dxa"/>
            <w:tcBorders>
              <w:top w:val="nil"/>
              <w:left w:val="nil"/>
              <w:bottom w:val="nil"/>
              <w:right w:val="nil"/>
            </w:tcBorders>
          </w:tcPr>
          <w:p w:rsidR="00B34E86" w:rsidRPr="000D39C8" w:rsidRDefault="00B34E86" w:rsidP="00B34E86">
            <w:pPr>
              <w:jc w:val="center"/>
              <w:rPr>
                <w:sz w:val="16"/>
                <w:szCs w:val="16"/>
              </w:rPr>
            </w:pPr>
          </w:p>
        </w:tc>
        <w:tc>
          <w:tcPr>
            <w:tcW w:w="2262" w:type="dxa"/>
            <w:tcBorders>
              <w:top w:val="nil"/>
              <w:left w:val="nil"/>
              <w:bottom w:val="nil"/>
              <w:right w:val="nil"/>
            </w:tcBorders>
          </w:tcPr>
          <w:p w:rsidR="00B34E86" w:rsidRPr="000D39C8" w:rsidRDefault="00B34E86" w:rsidP="00B34E86">
            <w:pPr>
              <w:jc w:val="center"/>
              <w:rPr>
                <w:sz w:val="16"/>
                <w:szCs w:val="16"/>
              </w:rPr>
            </w:pPr>
            <w:r w:rsidRPr="000D39C8">
              <w:rPr>
                <w:sz w:val="16"/>
                <w:szCs w:val="16"/>
              </w:rPr>
              <w:t>(расчетный период регулирования)</w:t>
            </w:r>
          </w:p>
        </w:tc>
        <w:tc>
          <w:tcPr>
            <w:tcW w:w="541" w:type="dxa"/>
            <w:tcBorders>
              <w:top w:val="nil"/>
              <w:left w:val="nil"/>
              <w:bottom w:val="nil"/>
              <w:right w:val="nil"/>
            </w:tcBorders>
          </w:tcPr>
          <w:p w:rsidR="00B34E86" w:rsidRPr="000D39C8" w:rsidRDefault="00B34E86" w:rsidP="00B34E86">
            <w:pPr>
              <w:jc w:val="center"/>
              <w:rPr>
                <w:sz w:val="16"/>
                <w:szCs w:val="16"/>
              </w:rPr>
            </w:pPr>
          </w:p>
        </w:tc>
      </w:tr>
    </w:tbl>
    <w:p w:rsidR="00B34E86" w:rsidRPr="000D39C8" w:rsidRDefault="00B34E86" w:rsidP="00B34E86">
      <w:pPr>
        <w:spacing w:line="276" w:lineRule="auto"/>
        <w:jc w:val="center"/>
        <w:rPr>
          <w:b/>
          <w:sz w:val="26"/>
          <w:szCs w:val="26"/>
        </w:rPr>
      </w:pPr>
      <w:r w:rsidRPr="000D39C8">
        <w:rPr>
          <w:b/>
          <w:sz w:val="26"/>
          <w:szCs w:val="26"/>
        </w:rPr>
        <w:t>Общество с ограниченной ответственностью</w:t>
      </w:r>
    </w:p>
    <w:p w:rsidR="00B34E86" w:rsidRPr="000D39C8" w:rsidRDefault="00B34E86" w:rsidP="00B34E86">
      <w:pPr>
        <w:spacing w:line="276" w:lineRule="auto"/>
        <w:jc w:val="center"/>
        <w:rPr>
          <w:b/>
          <w:sz w:val="26"/>
          <w:szCs w:val="26"/>
        </w:rPr>
      </w:pPr>
      <w:r w:rsidRPr="000D39C8">
        <w:rPr>
          <w:b/>
          <w:sz w:val="26"/>
          <w:szCs w:val="26"/>
        </w:rPr>
        <w:t xml:space="preserve"> «Сахалинская Газовая Энергетическая компания»  </w:t>
      </w:r>
    </w:p>
    <w:p w:rsidR="00B34E86" w:rsidRPr="000D39C8" w:rsidRDefault="00B34E86" w:rsidP="00B34E86">
      <w:pPr>
        <w:spacing w:line="276" w:lineRule="auto"/>
        <w:jc w:val="center"/>
        <w:rPr>
          <w:b/>
          <w:sz w:val="26"/>
          <w:szCs w:val="26"/>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p w:rsidR="00B34E86" w:rsidRDefault="00B34E86" w:rsidP="000E1C64">
      <w:pPr>
        <w:spacing w:line="276" w:lineRule="auto"/>
        <w:jc w:val="center"/>
        <w:rPr>
          <w:b/>
          <w:bCs/>
          <w:spacing w:val="50"/>
          <w:sz w:val="24"/>
          <w:szCs w:val="24"/>
        </w:rPr>
      </w:pPr>
    </w:p>
    <w:tbl>
      <w:tblPr>
        <w:tblW w:w="9833" w:type="dxa"/>
        <w:tblInd w:w="93" w:type="dxa"/>
        <w:tblLook w:val="04A0" w:firstRow="1" w:lastRow="0" w:firstColumn="1" w:lastColumn="0" w:noHBand="0" w:noVBand="1"/>
      </w:tblPr>
      <w:tblGrid>
        <w:gridCol w:w="9833"/>
      </w:tblGrid>
      <w:tr w:rsidR="00EC1B32" w:rsidRPr="00AF75F0" w:rsidTr="0082055B">
        <w:trPr>
          <w:trHeight w:val="450"/>
        </w:trPr>
        <w:tc>
          <w:tcPr>
            <w:tcW w:w="9833" w:type="dxa"/>
            <w:tcBorders>
              <w:top w:val="nil"/>
              <w:left w:val="nil"/>
              <w:bottom w:val="nil"/>
              <w:right w:val="nil"/>
            </w:tcBorders>
            <w:shd w:val="clear" w:color="auto" w:fill="auto"/>
            <w:vAlign w:val="bottom"/>
            <w:hideMark/>
          </w:tcPr>
          <w:p w:rsidR="00EC1B32" w:rsidRPr="00AF75F0" w:rsidRDefault="00EC1B32" w:rsidP="00EC1B32">
            <w:pPr>
              <w:autoSpaceDE/>
              <w:autoSpaceDN/>
              <w:jc w:val="right"/>
              <w:rPr>
                <w:rFonts w:ascii="Cambria" w:eastAsia="Times New Roman" w:hAnsi="Cambria"/>
                <w:b/>
                <w:bCs/>
              </w:rPr>
            </w:pPr>
            <w:r w:rsidRPr="00AF75F0">
              <w:rPr>
                <w:rFonts w:ascii="Cambria" w:eastAsia="Times New Roman" w:hAnsi="Cambria"/>
                <w:b/>
                <w:bCs/>
              </w:rPr>
              <w:lastRenderedPageBreak/>
              <w:t xml:space="preserve">Приложение № </w:t>
            </w:r>
            <w:r>
              <w:rPr>
                <w:rFonts w:ascii="Cambria" w:eastAsia="Times New Roman" w:hAnsi="Cambria"/>
                <w:b/>
                <w:bCs/>
              </w:rPr>
              <w:t>1</w:t>
            </w:r>
            <w:r w:rsidRPr="00AF75F0">
              <w:rPr>
                <w:rFonts w:ascii="Cambria" w:eastAsia="Times New Roman" w:hAnsi="Cambria"/>
                <w:b/>
                <w:bCs/>
              </w:rPr>
              <w:br/>
              <w:t>к предложению о размере цен (тарифов), долгосрочных параметров регулирования</w:t>
            </w:r>
          </w:p>
        </w:tc>
      </w:tr>
    </w:tbl>
    <w:p w:rsidR="00B34E86" w:rsidRDefault="00B34E86" w:rsidP="000E1C64">
      <w:pPr>
        <w:spacing w:line="276" w:lineRule="auto"/>
        <w:jc w:val="center"/>
        <w:rPr>
          <w:b/>
          <w:bCs/>
          <w:spacing w:val="50"/>
          <w:sz w:val="24"/>
          <w:szCs w:val="24"/>
        </w:rPr>
      </w:pPr>
    </w:p>
    <w:p w:rsidR="000E1C64" w:rsidRDefault="000E1C64" w:rsidP="000E1C64">
      <w:pPr>
        <w:spacing w:line="276" w:lineRule="auto"/>
        <w:jc w:val="center"/>
        <w:rPr>
          <w:b/>
          <w:sz w:val="26"/>
          <w:szCs w:val="26"/>
        </w:rPr>
      </w:pPr>
    </w:p>
    <w:p w:rsidR="00B321FE" w:rsidRPr="00CD16B0" w:rsidRDefault="00B321FE">
      <w:pPr>
        <w:spacing w:after="720"/>
        <w:jc w:val="center"/>
        <w:rPr>
          <w:b/>
          <w:sz w:val="26"/>
          <w:szCs w:val="26"/>
        </w:rPr>
      </w:pPr>
      <w:r w:rsidRPr="00CD16B0">
        <w:rPr>
          <w:b/>
          <w:sz w:val="26"/>
          <w:szCs w:val="26"/>
        </w:rPr>
        <w:t>Раздел 1. Информация об организации</w:t>
      </w:r>
    </w:p>
    <w:p w:rsidR="00B321FE" w:rsidRPr="00B321FE" w:rsidRDefault="00B321FE">
      <w:pPr>
        <w:rPr>
          <w:b/>
          <w:sz w:val="24"/>
          <w:szCs w:val="24"/>
          <w:u w:val="single"/>
        </w:rPr>
      </w:pPr>
      <w:r>
        <w:rPr>
          <w:sz w:val="24"/>
          <w:szCs w:val="24"/>
        </w:rPr>
        <w:t xml:space="preserve">Полное наименование: </w:t>
      </w:r>
      <w:r>
        <w:rPr>
          <w:b/>
          <w:sz w:val="24"/>
          <w:szCs w:val="24"/>
          <w:u w:val="single"/>
        </w:rPr>
        <w:t>Общество с ограниченной ответственностью «Сахалинская Газовая Энергетическая компания»</w:t>
      </w:r>
    </w:p>
    <w:p w:rsidR="00B321FE" w:rsidRDefault="00B321FE">
      <w:pPr>
        <w:rPr>
          <w:sz w:val="24"/>
          <w:szCs w:val="24"/>
        </w:rPr>
      </w:pPr>
    </w:p>
    <w:p w:rsidR="00B321FE" w:rsidRPr="00B321FE" w:rsidRDefault="00B321FE">
      <w:pPr>
        <w:rPr>
          <w:b/>
          <w:sz w:val="24"/>
          <w:szCs w:val="24"/>
          <w:u w:val="single"/>
        </w:rPr>
      </w:pPr>
      <w:r>
        <w:rPr>
          <w:sz w:val="24"/>
          <w:szCs w:val="24"/>
        </w:rPr>
        <w:t xml:space="preserve">Сокращенное наименование: </w:t>
      </w:r>
      <w:r>
        <w:rPr>
          <w:b/>
          <w:sz w:val="24"/>
          <w:szCs w:val="24"/>
          <w:u w:val="single"/>
        </w:rPr>
        <w:t>ООО «</w:t>
      </w:r>
      <w:proofErr w:type="spellStart"/>
      <w:r>
        <w:rPr>
          <w:b/>
          <w:sz w:val="24"/>
          <w:szCs w:val="24"/>
          <w:u w:val="single"/>
        </w:rPr>
        <w:t>СахГЭК</w:t>
      </w:r>
      <w:proofErr w:type="spellEnd"/>
      <w:r>
        <w:rPr>
          <w:b/>
          <w:sz w:val="24"/>
          <w:szCs w:val="24"/>
          <w:u w:val="single"/>
        </w:rPr>
        <w:t>»</w:t>
      </w:r>
    </w:p>
    <w:p w:rsidR="00B321FE" w:rsidRDefault="00B321FE">
      <w:pPr>
        <w:rPr>
          <w:sz w:val="24"/>
          <w:szCs w:val="24"/>
        </w:rPr>
      </w:pPr>
    </w:p>
    <w:p w:rsidR="00B321FE" w:rsidRDefault="00B321FE">
      <w:pPr>
        <w:rPr>
          <w:sz w:val="24"/>
          <w:szCs w:val="24"/>
        </w:rPr>
      </w:pPr>
      <w:r>
        <w:rPr>
          <w:sz w:val="24"/>
          <w:szCs w:val="24"/>
        </w:rPr>
        <w:t xml:space="preserve">Место нахождения: </w:t>
      </w:r>
      <w:r w:rsidRPr="00B321FE">
        <w:rPr>
          <w:sz w:val="24"/>
          <w:szCs w:val="24"/>
        </w:rPr>
        <w:t xml:space="preserve">693013, Россия, Сахалинская область, г. Южно-Сахалинск, ул. Солнечного света, </w:t>
      </w:r>
      <w:r w:rsidR="000E1C64">
        <w:rPr>
          <w:sz w:val="24"/>
          <w:szCs w:val="24"/>
        </w:rPr>
        <w:t>25</w:t>
      </w:r>
    </w:p>
    <w:p w:rsidR="00B321FE" w:rsidRDefault="00B321FE">
      <w:pPr>
        <w:rPr>
          <w:sz w:val="24"/>
          <w:szCs w:val="24"/>
        </w:rPr>
      </w:pPr>
    </w:p>
    <w:p w:rsidR="00B321FE" w:rsidRDefault="00B321FE">
      <w:pPr>
        <w:rPr>
          <w:sz w:val="24"/>
          <w:szCs w:val="24"/>
        </w:rPr>
      </w:pPr>
      <w:r>
        <w:rPr>
          <w:sz w:val="24"/>
          <w:szCs w:val="24"/>
        </w:rPr>
        <w:t xml:space="preserve">Фактический адрес: </w:t>
      </w:r>
      <w:r w:rsidRPr="00B321FE">
        <w:rPr>
          <w:sz w:val="24"/>
          <w:szCs w:val="24"/>
        </w:rPr>
        <w:t xml:space="preserve">693013, Россия, Сахалинская область, г. Южно-Сахалинск, ул. </w:t>
      </w:r>
      <w:r>
        <w:rPr>
          <w:sz w:val="24"/>
          <w:szCs w:val="24"/>
        </w:rPr>
        <w:t>Лунного света</w:t>
      </w:r>
      <w:r w:rsidRPr="00B321FE">
        <w:rPr>
          <w:sz w:val="24"/>
          <w:szCs w:val="24"/>
        </w:rPr>
        <w:t xml:space="preserve">, </w:t>
      </w:r>
      <w:r>
        <w:rPr>
          <w:sz w:val="24"/>
          <w:szCs w:val="24"/>
        </w:rPr>
        <w:t>25</w:t>
      </w:r>
    </w:p>
    <w:p w:rsidR="00B321FE" w:rsidRDefault="00B321FE">
      <w:pPr>
        <w:rPr>
          <w:sz w:val="24"/>
          <w:szCs w:val="24"/>
        </w:rPr>
      </w:pPr>
    </w:p>
    <w:p w:rsidR="00B321FE" w:rsidRDefault="00B321FE">
      <w:pPr>
        <w:rPr>
          <w:sz w:val="24"/>
          <w:szCs w:val="24"/>
        </w:rPr>
      </w:pPr>
      <w:r>
        <w:rPr>
          <w:sz w:val="24"/>
          <w:szCs w:val="24"/>
        </w:rPr>
        <w:t xml:space="preserve">ИНН  </w:t>
      </w:r>
      <w:r w:rsidRPr="00FF41AA">
        <w:rPr>
          <w:sz w:val="26"/>
        </w:rPr>
        <w:t>6501178250</w:t>
      </w:r>
    </w:p>
    <w:p w:rsidR="00B321FE" w:rsidRDefault="00B321FE">
      <w:pPr>
        <w:rPr>
          <w:sz w:val="24"/>
          <w:szCs w:val="24"/>
        </w:rPr>
      </w:pPr>
    </w:p>
    <w:p w:rsidR="00B321FE" w:rsidRDefault="00B321FE">
      <w:pPr>
        <w:rPr>
          <w:sz w:val="26"/>
        </w:rPr>
      </w:pPr>
      <w:r>
        <w:rPr>
          <w:sz w:val="24"/>
          <w:szCs w:val="24"/>
        </w:rPr>
        <w:t xml:space="preserve">КПП  </w:t>
      </w:r>
      <w:r w:rsidRPr="00FF41AA">
        <w:rPr>
          <w:sz w:val="26"/>
        </w:rPr>
        <w:t>650101001</w:t>
      </w:r>
    </w:p>
    <w:p w:rsidR="00B321FE" w:rsidRDefault="00B321FE">
      <w:pPr>
        <w:rPr>
          <w:sz w:val="24"/>
          <w:szCs w:val="24"/>
        </w:rPr>
      </w:pPr>
    </w:p>
    <w:p w:rsidR="00B321FE" w:rsidRPr="00B321FE" w:rsidRDefault="00B321FE">
      <w:pPr>
        <w:rPr>
          <w:b/>
          <w:sz w:val="24"/>
          <w:szCs w:val="24"/>
          <w:u w:val="single"/>
        </w:rPr>
      </w:pPr>
      <w:r>
        <w:rPr>
          <w:sz w:val="24"/>
          <w:szCs w:val="24"/>
        </w:rPr>
        <w:t xml:space="preserve">Ф.И.О. руководителя: </w:t>
      </w:r>
      <w:r w:rsidR="000E1C64">
        <w:rPr>
          <w:b/>
          <w:sz w:val="24"/>
          <w:szCs w:val="24"/>
          <w:u w:val="single"/>
        </w:rPr>
        <w:t>Кутузов Алексей Владимирович</w:t>
      </w:r>
    </w:p>
    <w:p w:rsidR="00B321FE" w:rsidRDefault="00B321FE">
      <w:pPr>
        <w:rPr>
          <w:sz w:val="24"/>
          <w:szCs w:val="24"/>
        </w:rPr>
      </w:pPr>
    </w:p>
    <w:p w:rsidR="000E1C64" w:rsidRPr="000E1C64" w:rsidRDefault="00B321FE" w:rsidP="000E1C64">
      <w:pPr>
        <w:adjustRightInd w:val="0"/>
        <w:rPr>
          <w:b/>
          <w:color w:val="000000"/>
          <w:sz w:val="24"/>
          <w:szCs w:val="24"/>
        </w:rPr>
      </w:pPr>
      <w:r>
        <w:rPr>
          <w:sz w:val="24"/>
          <w:szCs w:val="24"/>
        </w:rPr>
        <w:t xml:space="preserve">Адрес электронной почты: </w:t>
      </w:r>
      <w:r w:rsidR="000E1C64" w:rsidRPr="000E1C64">
        <w:rPr>
          <w:b/>
          <w:color w:val="000000"/>
          <w:sz w:val="24"/>
          <w:szCs w:val="24"/>
        </w:rPr>
        <w:t>sakhgek@sakhgek.ru</w:t>
      </w:r>
    </w:p>
    <w:p w:rsidR="00B321FE" w:rsidRPr="000E1C64" w:rsidRDefault="00B321FE">
      <w:pPr>
        <w:rPr>
          <w:b/>
          <w:sz w:val="24"/>
          <w:szCs w:val="24"/>
        </w:rPr>
      </w:pPr>
    </w:p>
    <w:p w:rsidR="00B321FE" w:rsidRDefault="00B321FE">
      <w:pPr>
        <w:rPr>
          <w:sz w:val="24"/>
          <w:szCs w:val="24"/>
        </w:rPr>
      </w:pPr>
      <w:r>
        <w:rPr>
          <w:sz w:val="24"/>
          <w:szCs w:val="24"/>
        </w:rPr>
        <w:t>Контактный телефон: 8 (4242) 45-00-8</w:t>
      </w:r>
      <w:r w:rsidR="000E1C64">
        <w:rPr>
          <w:sz w:val="24"/>
          <w:szCs w:val="24"/>
        </w:rPr>
        <w:t>4</w:t>
      </w:r>
    </w:p>
    <w:p w:rsidR="00B321FE" w:rsidRDefault="00B321FE">
      <w:pPr>
        <w:rPr>
          <w:sz w:val="24"/>
          <w:szCs w:val="24"/>
        </w:rPr>
      </w:pPr>
    </w:p>
    <w:p w:rsidR="00B321FE" w:rsidRDefault="00B321FE">
      <w:pPr>
        <w:rPr>
          <w:sz w:val="24"/>
          <w:szCs w:val="24"/>
        </w:rPr>
      </w:pPr>
      <w:r>
        <w:rPr>
          <w:sz w:val="24"/>
          <w:szCs w:val="24"/>
        </w:rPr>
        <w:t>Факс: 8 (4242) 45-00-84</w:t>
      </w:r>
    </w:p>
    <w:p w:rsidR="00B321FE" w:rsidRDefault="00B321FE">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B34E86" w:rsidRDefault="00B34E86">
      <w:pPr>
        <w:rPr>
          <w:sz w:val="24"/>
          <w:szCs w:val="24"/>
        </w:rPr>
      </w:pPr>
    </w:p>
    <w:tbl>
      <w:tblPr>
        <w:tblW w:w="9760" w:type="dxa"/>
        <w:tblInd w:w="93" w:type="dxa"/>
        <w:tblLook w:val="04A0" w:firstRow="1" w:lastRow="0" w:firstColumn="1" w:lastColumn="0" w:noHBand="0" w:noVBand="1"/>
      </w:tblPr>
      <w:tblGrid>
        <w:gridCol w:w="697"/>
        <w:gridCol w:w="3296"/>
        <w:gridCol w:w="1330"/>
        <w:gridCol w:w="1526"/>
        <w:gridCol w:w="1455"/>
        <w:gridCol w:w="1456"/>
      </w:tblGrid>
      <w:tr w:rsidR="00D50A96" w:rsidRPr="00D50A96" w:rsidTr="00D50A96">
        <w:trPr>
          <w:trHeight w:val="540"/>
        </w:trPr>
        <w:tc>
          <w:tcPr>
            <w:tcW w:w="9760" w:type="dxa"/>
            <w:gridSpan w:val="6"/>
            <w:tcBorders>
              <w:top w:val="nil"/>
              <w:left w:val="nil"/>
              <w:bottom w:val="nil"/>
              <w:right w:val="nil"/>
            </w:tcBorders>
            <w:shd w:val="clear" w:color="auto" w:fill="auto"/>
            <w:vAlign w:val="center"/>
            <w:hideMark/>
          </w:tcPr>
          <w:p w:rsidR="00D50A96" w:rsidRPr="00D50A96" w:rsidRDefault="00D50A96" w:rsidP="00D50A96">
            <w:pPr>
              <w:autoSpaceDE/>
              <w:autoSpaceDN/>
              <w:jc w:val="right"/>
              <w:rPr>
                <w:rFonts w:ascii="Cambria" w:eastAsia="Times New Roman" w:hAnsi="Cambria" w:cs="Arial CYR"/>
                <w:b/>
              </w:rPr>
            </w:pPr>
            <w:bookmarkStart w:id="0" w:name="RANGE!A1:F47"/>
            <w:r w:rsidRPr="00D50A96">
              <w:rPr>
                <w:rFonts w:ascii="Cambria" w:eastAsia="Times New Roman" w:hAnsi="Cambria" w:cs="Arial CYR"/>
                <w:b/>
              </w:rPr>
              <w:lastRenderedPageBreak/>
              <w:t>Приложение № 2</w:t>
            </w:r>
            <w:r w:rsidRPr="00D50A96">
              <w:rPr>
                <w:rFonts w:ascii="Cambria" w:eastAsia="Times New Roman" w:hAnsi="Cambria" w:cs="Arial CYR"/>
                <w:b/>
              </w:rPr>
              <w:br/>
              <w:t>к предложению о размере цен (тарифов), долгосрочных параметров регулирования</w:t>
            </w:r>
            <w:bookmarkEnd w:id="0"/>
          </w:p>
        </w:tc>
      </w:tr>
      <w:tr w:rsidR="00D50A96" w:rsidRPr="00D50A96" w:rsidTr="00D50A96">
        <w:trPr>
          <w:trHeight w:val="300"/>
        </w:trPr>
        <w:tc>
          <w:tcPr>
            <w:tcW w:w="697" w:type="dxa"/>
            <w:tcBorders>
              <w:top w:val="nil"/>
              <w:left w:val="nil"/>
              <w:bottom w:val="nil"/>
              <w:right w:val="nil"/>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p>
        </w:tc>
        <w:tc>
          <w:tcPr>
            <w:tcW w:w="3296" w:type="dxa"/>
            <w:tcBorders>
              <w:top w:val="nil"/>
              <w:left w:val="nil"/>
              <w:bottom w:val="nil"/>
              <w:right w:val="nil"/>
            </w:tcBorders>
            <w:shd w:val="clear" w:color="auto" w:fill="auto"/>
            <w:vAlign w:val="center"/>
            <w:hideMark/>
          </w:tcPr>
          <w:p w:rsidR="00D50A96" w:rsidRPr="00D50A96" w:rsidRDefault="00D50A96" w:rsidP="00D50A96">
            <w:pPr>
              <w:autoSpaceDE/>
              <w:autoSpaceDN/>
              <w:rPr>
                <w:rFonts w:ascii="Cambria" w:eastAsia="Times New Roman" w:hAnsi="Cambria" w:cs="Arial CYR"/>
                <w:sz w:val="24"/>
                <w:szCs w:val="24"/>
              </w:rPr>
            </w:pPr>
          </w:p>
        </w:tc>
        <w:tc>
          <w:tcPr>
            <w:tcW w:w="1330" w:type="dxa"/>
            <w:tcBorders>
              <w:top w:val="nil"/>
              <w:left w:val="nil"/>
              <w:bottom w:val="nil"/>
              <w:right w:val="nil"/>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p>
        </w:tc>
        <w:tc>
          <w:tcPr>
            <w:tcW w:w="1526" w:type="dxa"/>
            <w:tcBorders>
              <w:top w:val="nil"/>
              <w:left w:val="nil"/>
              <w:bottom w:val="nil"/>
              <w:right w:val="nil"/>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p>
        </w:tc>
        <w:tc>
          <w:tcPr>
            <w:tcW w:w="1455" w:type="dxa"/>
            <w:tcBorders>
              <w:top w:val="nil"/>
              <w:left w:val="nil"/>
              <w:bottom w:val="nil"/>
              <w:right w:val="nil"/>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p>
        </w:tc>
        <w:tc>
          <w:tcPr>
            <w:tcW w:w="1456" w:type="dxa"/>
            <w:tcBorders>
              <w:top w:val="nil"/>
              <w:left w:val="nil"/>
              <w:bottom w:val="nil"/>
              <w:right w:val="nil"/>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p>
        </w:tc>
      </w:tr>
      <w:tr w:rsidR="00D50A96" w:rsidRPr="00D50A96" w:rsidTr="00D50A96">
        <w:trPr>
          <w:trHeight w:val="948"/>
        </w:trPr>
        <w:tc>
          <w:tcPr>
            <w:tcW w:w="9760" w:type="dxa"/>
            <w:gridSpan w:val="6"/>
            <w:tcBorders>
              <w:top w:val="nil"/>
              <w:left w:val="nil"/>
              <w:bottom w:val="nil"/>
              <w:right w:val="nil"/>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b/>
                <w:bCs/>
                <w:sz w:val="24"/>
                <w:szCs w:val="24"/>
              </w:rPr>
            </w:pPr>
            <w:r w:rsidRPr="00D50A96">
              <w:rPr>
                <w:rFonts w:ascii="Cambria" w:eastAsia="Times New Roman" w:hAnsi="Cambria" w:cs="Arial CYR"/>
                <w:b/>
                <w:bCs/>
                <w:sz w:val="24"/>
                <w:szCs w:val="24"/>
              </w:rPr>
              <w:t>Раздел 2. Основные показатели деятельности организаций, относящихся к субъектам естественных монополий,</w:t>
            </w:r>
            <w:r w:rsidRPr="00D50A96">
              <w:rPr>
                <w:rFonts w:ascii="Cambria" w:eastAsia="Times New Roman" w:hAnsi="Cambria" w:cs="Arial CYR"/>
                <w:b/>
                <w:bCs/>
                <w:sz w:val="24"/>
                <w:szCs w:val="24"/>
              </w:rPr>
              <w:br/>
              <w:t>а также коммерческого оператора оптового рынка электрической энергии (мощности)</w:t>
            </w:r>
          </w:p>
        </w:tc>
      </w:tr>
      <w:tr w:rsidR="00D50A96" w:rsidRPr="00D50A96" w:rsidTr="00D50A96">
        <w:trPr>
          <w:trHeight w:val="300"/>
        </w:trPr>
        <w:tc>
          <w:tcPr>
            <w:tcW w:w="9760" w:type="dxa"/>
            <w:gridSpan w:val="6"/>
            <w:tcBorders>
              <w:top w:val="nil"/>
              <w:left w:val="nil"/>
              <w:bottom w:val="nil"/>
              <w:right w:val="nil"/>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b/>
                <w:bCs/>
                <w:sz w:val="24"/>
                <w:szCs w:val="24"/>
              </w:rPr>
            </w:pPr>
            <w:r w:rsidRPr="00D50A96">
              <w:rPr>
                <w:rFonts w:ascii="Cambria" w:eastAsia="Times New Roman" w:hAnsi="Cambria" w:cs="Arial CYR"/>
                <w:b/>
                <w:bCs/>
                <w:sz w:val="24"/>
                <w:szCs w:val="24"/>
              </w:rPr>
              <w:t>ООО "Сахалинская Газовая Энергетическая компания"</w:t>
            </w:r>
          </w:p>
        </w:tc>
      </w:tr>
      <w:tr w:rsidR="00D50A96" w:rsidRPr="00D50A96" w:rsidTr="00D50A96">
        <w:trPr>
          <w:trHeight w:val="300"/>
        </w:trPr>
        <w:tc>
          <w:tcPr>
            <w:tcW w:w="697" w:type="dxa"/>
            <w:tcBorders>
              <w:top w:val="nil"/>
              <w:left w:val="nil"/>
              <w:bottom w:val="single" w:sz="4" w:space="0" w:color="auto"/>
              <w:right w:val="nil"/>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p>
        </w:tc>
        <w:tc>
          <w:tcPr>
            <w:tcW w:w="3296" w:type="dxa"/>
            <w:tcBorders>
              <w:top w:val="nil"/>
              <w:left w:val="nil"/>
              <w:bottom w:val="single" w:sz="4" w:space="0" w:color="auto"/>
              <w:right w:val="nil"/>
            </w:tcBorders>
            <w:shd w:val="clear" w:color="auto" w:fill="auto"/>
            <w:vAlign w:val="center"/>
            <w:hideMark/>
          </w:tcPr>
          <w:p w:rsidR="00D50A96" w:rsidRPr="00D50A96" w:rsidRDefault="00D50A96" w:rsidP="00D50A96">
            <w:pPr>
              <w:autoSpaceDE/>
              <w:autoSpaceDN/>
              <w:rPr>
                <w:rFonts w:ascii="Cambria" w:eastAsia="Times New Roman" w:hAnsi="Cambria" w:cs="Arial CYR"/>
                <w:sz w:val="24"/>
                <w:szCs w:val="24"/>
              </w:rPr>
            </w:pPr>
          </w:p>
        </w:tc>
        <w:tc>
          <w:tcPr>
            <w:tcW w:w="1330" w:type="dxa"/>
            <w:tcBorders>
              <w:top w:val="nil"/>
              <w:left w:val="nil"/>
              <w:bottom w:val="single" w:sz="4" w:space="0" w:color="auto"/>
              <w:right w:val="nil"/>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p>
        </w:tc>
        <w:tc>
          <w:tcPr>
            <w:tcW w:w="1526" w:type="dxa"/>
            <w:tcBorders>
              <w:top w:val="nil"/>
              <w:left w:val="nil"/>
              <w:bottom w:val="single" w:sz="4" w:space="0" w:color="auto"/>
              <w:right w:val="nil"/>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p>
        </w:tc>
        <w:tc>
          <w:tcPr>
            <w:tcW w:w="1455" w:type="dxa"/>
            <w:tcBorders>
              <w:top w:val="nil"/>
              <w:left w:val="nil"/>
              <w:bottom w:val="single" w:sz="4" w:space="0" w:color="auto"/>
              <w:right w:val="nil"/>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p>
        </w:tc>
        <w:tc>
          <w:tcPr>
            <w:tcW w:w="1456" w:type="dxa"/>
            <w:tcBorders>
              <w:top w:val="nil"/>
              <w:left w:val="nil"/>
              <w:bottom w:val="single" w:sz="4" w:space="0" w:color="auto"/>
              <w:right w:val="nil"/>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p>
        </w:tc>
      </w:tr>
      <w:tr w:rsidR="00D50A96" w:rsidRPr="00D50A96" w:rsidTr="00D50A96">
        <w:trPr>
          <w:trHeight w:val="102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bookmarkStart w:id="1" w:name="RANGE!A7:F43"/>
            <w:r w:rsidRPr="00D50A96">
              <w:rPr>
                <w:rFonts w:ascii="Cambria" w:eastAsia="Times New Roman" w:hAnsi="Cambria" w:cs="Arial CYR"/>
                <w:sz w:val="16"/>
                <w:szCs w:val="16"/>
              </w:rPr>
              <w:t xml:space="preserve">№ </w:t>
            </w:r>
            <w:r w:rsidRPr="00D50A96">
              <w:rPr>
                <w:rFonts w:ascii="Cambria" w:eastAsia="Times New Roman" w:hAnsi="Cambria" w:cs="Arial CYR"/>
                <w:sz w:val="16"/>
                <w:szCs w:val="16"/>
              </w:rPr>
              <w:br/>
            </w:r>
            <w:proofErr w:type="gramStart"/>
            <w:r w:rsidRPr="00D50A96">
              <w:rPr>
                <w:rFonts w:ascii="Cambria" w:eastAsia="Times New Roman" w:hAnsi="Cambria" w:cs="Arial CYR"/>
                <w:sz w:val="16"/>
                <w:szCs w:val="16"/>
              </w:rPr>
              <w:t>п</w:t>
            </w:r>
            <w:proofErr w:type="gramEnd"/>
            <w:r w:rsidRPr="00D50A96">
              <w:rPr>
                <w:rFonts w:ascii="Cambria" w:eastAsia="Times New Roman" w:hAnsi="Cambria" w:cs="Arial CYR"/>
                <w:sz w:val="16"/>
                <w:szCs w:val="16"/>
              </w:rPr>
              <w:t>/п</w:t>
            </w:r>
            <w:bookmarkEnd w:id="1"/>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Наименование показателей</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Единица измерения</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xml:space="preserve">Фактические показатели </w:t>
            </w:r>
            <w:r w:rsidRPr="00D50A96">
              <w:rPr>
                <w:rFonts w:ascii="Cambria" w:eastAsia="Times New Roman" w:hAnsi="Cambria" w:cs="Arial CYR"/>
                <w:sz w:val="16"/>
                <w:szCs w:val="16"/>
              </w:rPr>
              <w:br/>
              <w:t>за год, предшествующий базовому периоду</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xml:space="preserve">Показатели, утвержденные </w:t>
            </w:r>
            <w:r w:rsidRPr="00D50A96">
              <w:rPr>
                <w:rFonts w:ascii="Cambria" w:eastAsia="Times New Roman" w:hAnsi="Cambria" w:cs="Arial CYR"/>
                <w:sz w:val="16"/>
                <w:szCs w:val="16"/>
              </w:rPr>
              <w:br/>
              <w:t xml:space="preserve">на базовый период </w:t>
            </w:r>
            <w:r w:rsidRPr="00D50A96">
              <w:rPr>
                <w:rFonts w:ascii="Cambria" w:eastAsia="Times New Roman" w:hAnsi="Cambria" w:cs="Arial CYR"/>
                <w:sz w:val="16"/>
                <w:szCs w:val="16"/>
                <w:vertAlign w:val="superscript"/>
              </w:rPr>
              <w:t>1</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xml:space="preserve">Предложения </w:t>
            </w:r>
            <w:r w:rsidRPr="00D50A96">
              <w:rPr>
                <w:rFonts w:ascii="Cambria" w:eastAsia="Times New Roman" w:hAnsi="Cambria" w:cs="Arial CYR"/>
                <w:sz w:val="16"/>
                <w:szCs w:val="16"/>
              </w:rPr>
              <w:br/>
              <w:t>на расчетный период регулирования</w:t>
            </w:r>
          </w:p>
        </w:tc>
      </w:tr>
      <w:tr w:rsidR="00D50A96" w:rsidRPr="00D50A96" w:rsidTr="00D50A96">
        <w:trPr>
          <w:trHeight w:val="384"/>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b/>
                <w:bCs/>
                <w:sz w:val="16"/>
                <w:szCs w:val="16"/>
              </w:rPr>
            </w:pPr>
            <w:r w:rsidRPr="00D50A96">
              <w:rPr>
                <w:rFonts w:ascii="Cambria" w:eastAsia="Times New Roman" w:hAnsi="Cambria" w:cs="Arial CYR"/>
                <w:b/>
                <w:bCs/>
                <w:sz w:val="16"/>
                <w:szCs w:val="16"/>
              </w:rPr>
              <w:t>1.</w:t>
            </w:r>
          </w:p>
        </w:tc>
        <w:tc>
          <w:tcPr>
            <w:tcW w:w="9063" w:type="dxa"/>
            <w:gridSpan w:val="5"/>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b/>
                <w:bCs/>
                <w:sz w:val="18"/>
                <w:szCs w:val="18"/>
              </w:rPr>
            </w:pPr>
            <w:r w:rsidRPr="00D50A96">
              <w:rPr>
                <w:rFonts w:ascii="Cambria" w:eastAsia="Times New Roman" w:hAnsi="Cambria" w:cs="Arial CYR"/>
                <w:b/>
                <w:bCs/>
                <w:sz w:val="18"/>
                <w:szCs w:val="18"/>
              </w:rPr>
              <w:t>Показатели эффективности деятельности организации</w:t>
            </w:r>
          </w:p>
        </w:tc>
      </w:tr>
      <w:tr w:rsidR="00D50A96" w:rsidRPr="00D50A96" w:rsidTr="00D50A96">
        <w:trPr>
          <w:trHeight w:val="34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1.1.</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Выручка</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тыс. рублей</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58395,8</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55568,0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61124,8</w:t>
            </w:r>
          </w:p>
        </w:tc>
      </w:tr>
      <w:tr w:rsidR="00D50A96" w:rsidRPr="00D50A96" w:rsidTr="00D50A96">
        <w:trPr>
          <w:trHeight w:val="34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1.2.</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Прибыль (убыток) от продаж</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тыс. рублей</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1800,0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3364,4</w:t>
            </w:r>
          </w:p>
        </w:tc>
      </w:tr>
      <w:tr w:rsidR="00D50A96" w:rsidRPr="00D50A96" w:rsidTr="00D50A96">
        <w:trPr>
          <w:trHeight w:val="34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1.3.</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EBITDA (прибыль до процентов, налогов и амортизации)</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тыс. рублей</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r>
      <w:tr w:rsidR="00D50A96" w:rsidRPr="00D50A96" w:rsidTr="00D50A96">
        <w:trPr>
          <w:trHeight w:val="34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1.4.</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Чистая прибыль (убыток)</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тыс. рублей</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r>
      <w:tr w:rsidR="00D50A96" w:rsidRPr="00D50A96" w:rsidTr="00D50A96">
        <w:trPr>
          <w:trHeight w:val="36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2.</w:t>
            </w:r>
          </w:p>
        </w:tc>
        <w:tc>
          <w:tcPr>
            <w:tcW w:w="9063" w:type="dxa"/>
            <w:gridSpan w:val="5"/>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b/>
                <w:bCs/>
                <w:sz w:val="18"/>
                <w:szCs w:val="18"/>
              </w:rPr>
            </w:pPr>
            <w:r w:rsidRPr="00D50A96">
              <w:rPr>
                <w:rFonts w:ascii="Cambria" w:eastAsia="Times New Roman" w:hAnsi="Cambria" w:cs="Arial CYR"/>
                <w:b/>
                <w:bCs/>
                <w:sz w:val="18"/>
                <w:szCs w:val="18"/>
              </w:rPr>
              <w:t>Показатели рентабельности организации</w:t>
            </w:r>
          </w:p>
        </w:tc>
      </w:tr>
      <w:tr w:rsidR="00D50A96" w:rsidRPr="00D50A96" w:rsidTr="00D50A96">
        <w:trPr>
          <w:trHeight w:val="102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2.1.</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xml:space="preserve">Рентабельность продаж (величина прибыли от продаж </w:t>
            </w:r>
            <w:r w:rsidRPr="00D50A96">
              <w:rPr>
                <w:rFonts w:ascii="Cambria" w:eastAsia="Times New Roman" w:hAnsi="Cambria" w:cs="Arial CYR"/>
                <w:sz w:val="16"/>
                <w:szCs w:val="16"/>
              </w:rPr>
              <w:br/>
              <w:t xml:space="preserve">в каждом рубле выручки). </w:t>
            </w:r>
            <w:r w:rsidRPr="00D50A96">
              <w:rPr>
                <w:rFonts w:ascii="Cambria" w:eastAsia="Times New Roman" w:hAnsi="Cambria" w:cs="Arial CYR"/>
                <w:sz w:val="16"/>
                <w:szCs w:val="16"/>
              </w:rPr>
              <w:br/>
              <w:t>Нормальное значение для данной отрасли от 9 процентов и более</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процент</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3%</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6%</w:t>
            </w:r>
          </w:p>
        </w:tc>
      </w:tr>
      <w:tr w:rsidR="00D50A96" w:rsidRPr="00D50A96" w:rsidTr="00D50A96">
        <w:trPr>
          <w:trHeight w:val="34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3.</w:t>
            </w:r>
          </w:p>
        </w:tc>
        <w:tc>
          <w:tcPr>
            <w:tcW w:w="9063" w:type="dxa"/>
            <w:gridSpan w:val="5"/>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b/>
                <w:bCs/>
                <w:sz w:val="18"/>
                <w:szCs w:val="18"/>
              </w:rPr>
            </w:pPr>
            <w:r w:rsidRPr="00D50A96">
              <w:rPr>
                <w:rFonts w:ascii="Cambria" w:eastAsia="Times New Roman" w:hAnsi="Cambria" w:cs="Arial CYR"/>
                <w:b/>
                <w:bCs/>
                <w:sz w:val="18"/>
                <w:szCs w:val="18"/>
              </w:rPr>
              <w:t>Показатели регулируемых видов деятельности организации</w:t>
            </w:r>
          </w:p>
        </w:tc>
      </w:tr>
      <w:tr w:rsidR="00D50A96" w:rsidRPr="00D50A96" w:rsidTr="00D50A96">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3.1.</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xml:space="preserve">Расчетный объем услуг в части управления технологическими режимами </w:t>
            </w:r>
            <w:r w:rsidRPr="00D50A96">
              <w:rPr>
                <w:rFonts w:ascii="Cambria" w:eastAsia="Times New Roman" w:hAnsi="Cambria" w:cs="Arial CYR"/>
                <w:sz w:val="16"/>
                <w:szCs w:val="16"/>
                <w:vertAlign w:val="superscript"/>
              </w:rPr>
              <w:t>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МВт</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492"/>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3.2.</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xml:space="preserve">Расчетный объем услуг в части обеспечения надежности </w:t>
            </w:r>
            <w:r w:rsidRPr="00D50A96">
              <w:rPr>
                <w:rFonts w:ascii="Cambria" w:eastAsia="Times New Roman" w:hAnsi="Cambria" w:cs="Arial CYR"/>
                <w:sz w:val="16"/>
                <w:szCs w:val="16"/>
                <w:vertAlign w:val="superscript"/>
              </w:rPr>
              <w:t>2</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proofErr w:type="spellStart"/>
            <w:r w:rsidRPr="00D50A96">
              <w:rPr>
                <w:rFonts w:ascii="Cambria" w:eastAsia="Times New Roman" w:hAnsi="Cambria" w:cs="Arial CYR"/>
                <w:sz w:val="16"/>
                <w:szCs w:val="16"/>
              </w:rPr>
              <w:t>МВт·</w:t>
            </w:r>
            <w:proofErr w:type="gramStart"/>
            <w:r w:rsidRPr="00D50A96">
              <w:rPr>
                <w:rFonts w:ascii="Cambria" w:eastAsia="Times New Roman" w:hAnsi="Cambria" w:cs="Arial CYR"/>
                <w:sz w:val="16"/>
                <w:szCs w:val="16"/>
              </w:rPr>
              <w:t>ч</w:t>
            </w:r>
            <w:proofErr w:type="spellEnd"/>
            <w:proofErr w:type="gramEnd"/>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28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3.3.</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xml:space="preserve">Заявленная мощность </w:t>
            </w:r>
            <w:r w:rsidRPr="00D50A96">
              <w:rPr>
                <w:rFonts w:ascii="Cambria" w:eastAsia="Times New Roman" w:hAnsi="Cambria" w:cs="Arial CYR"/>
                <w:sz w:val="16"/>
                <w:szCs w:val="16"/>
                <w:vertAlign w:val="superscript"/>
              </w:rPr>
              <w:t>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МВт</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46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br/>
              <w:t>3.4.</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br/>
              <w:t xml:space="preserve">Объем полезного отпуска электроэнергии - всего </w:t>
            </w:r>
            <w:r w:rsidRPr="00D50A96">
              <w:rPr>
                <w:rFonts w:ascii="Cambria" w:eastAsia="Times New Roman" w:hAnsi="Cambria" w:cs="Arial CYR"/>
                <w:sz w:val="16"/>
                <w:szCs w:val="16"/>
                <w:vertAlign w:val="superscript"/>
              </w:rPr>
              <w:t>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br/>
              <w:t xml:space="preserve">тыс. </w:t>
            </w:r>
            <w:proofErr w:type="spellStart"/>
            <w:r w:rsidRPr="00D50A96">
              <w:rPr>
                <w:rFonts w:ascii="Cambria" w:eastAsia="Times New Roman" w:hAnsi="Cambria" w:cs="Arial CYR"/>
                <w:sz w:val="16"/>
                <w:szCs w:val="16"/>
              </w:rPr>
              <w:t>кВт·</w:t>
            </w:r>
            <w:proofErr w:type="gramStart"/>
            <w:r w:rsidRPr="00D50A96">
              <w:rPr>
                <w:rFonts w:ascii="Cambria" w:eastAsia="Times New Roman" w:hAnsi="Cambria" w:cs="Arial CYR"/>
                <w:sz w:val="16"/>
                <w:szCs w:val="16"/>
              </w:rPr>
              <w:t>ч</w:t>
            </w:r>
            <w:proofErr w:type="spellEnd"/>
            <w:proofErr w:type="gramEnd"/>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816"/>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3.5.</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xml:space="preserve">Объем полезного отпуска электроэнергии населению и приравненным к нему категориям потребителей </w:t>
            </w:r>
            <w:r w:rsidRPr="00D50A96">
              <w:rPr>
                <w:rFonts w:ascii="Cambria" w:eastAsia="Times New Roman" w:hAnsi="Cambria" w:cs="Arial CYR"/>
                <w:sz w:val="16"/>
                <w:szCs w:val="16"/>
                <w:vertAlign w:val="superscript"/>
              </w:rPr>
              <w:t>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xml:space="preserve">тыс. </w:t>
            </w:r>
            <w:proofErr w:type="spellStart"/>
            <w:r w:rsidRPr="00D50A96">
              <w:rPr>
                <w:rFonts w:ascii="Cambria" w:eastAsia="Times New Roman" w:hAnsi="Cambria" w:cs="Arial CYR"/>
                <w:sz w:val="16"/>
                <w:szCs w:val="16"/>
              </w:rPr>
              <w:t>кВт·</w:t>
            </w:r>
            <w:proofErr w:type="gramStart"/>
            <w:r w:rsidRPr="00D50A96">
              <w:rPr>
                <w:rFonts w:ascii="Cambria" w:eastAsia="Times New Roman" w:hAnsi="Cambria" w:cs="Arial CYR"/>
                <w:sz w:val="16"/>
                <w:szCs w:val="16"/>
              </w:rPr>
              <w:t>ч</w:t>
            </w:r>
            <w:proofErr w:type="spellEnd"/>
            <w:proofErr w:type="gramEnd"/>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852"/>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3.6.</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Норматив потерь электрической энергии (с указанием реквизитов приказа Минэнерго России, которым утверждены нормативы)</w:t>
            </w:r>
            <w:r w:rsidRPr="00D50A96">
              <w:rPr>
                <w:rFonts w:ascii="Cambria" w:eastAsia="Times New Roman" w:hAnsi="Cambria" w:cs="Arial CYR"/>
                <w:sz w:val="16"/>
                <w:szCs w:val="16"/>
                <w:vertAlign w:val="superscript"/>
              </w:rPr>
              <w:t>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процент</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744"/>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3.7.</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xml:space="preserve">Реквизиты программы </w:t>
            </w:r>
            <w:proofErr w:type="spellStart"/>
            <w:r w:rsidRPr="00D50A96">
              <w:rPr>
                <w:rFonts w:ascii="Cambria" w:eastAsia="Times New Roman" w:hAnsi="Cambria" w:cs="Arial CYR"/>
                <w:sz w:val="16"/>
                <w:szCs w:val="16"/>
              </w:rPr>
              <w:t>энергоэффективности</w:t>
            </w:r>
            <w:proofErr w:type="spellEnd"/>
            <w:r w:rsidRPr="00D50A96">
              <w:rPr>
                <w:rFonts w:ascii="Cambria" w:eastAsia="Times New Roman" w:hAnsi="Cambria" w:cs="Arial CYR"/>
                <w:sz w:val="16"/>
                <w:szCs w:val="16"/>
              </w:rPr>
              <w:t xml:space="preserve"> (кем утверждена, дата утверждения, номер приказа)</w:t>
            </w:r>
            <w:r w:rsidRPr="00D50A96">
              <w:rPr>
                <w:rFonts w:ascii="Cambria" w:eastAsia="Times New Roman" w:hAnsi="Cambria" w:cs="Arial CYR"/>
                <w:sz w:val="16"/>
                <w:szCs w:val="16"/>
                <w:vertAlign w:val="superscript"/>
              </w:rPr>
              <w:t>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78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3.8.</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xml:space="preserve">Суммарный объем производства и потребления электрической энергии участниками оптового рынка электрической энергии </w:t>
            </w:r>
            <w:r w:rsidRPr="00D50A96">
              <w:rPr>
                <w:rFonts w:ascii="Cambria" w:eastAsia="Times New Roman" w:hAnsi="Cambria" w:cs="Arial CYR"/>
                <w:sz w:val="16"/>
                <w:szCs w:val="16"/>
                <w:vertAlign w:val="superscript"/>
              </w:rPr>
              <w:t>4</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proofErr w:type="spellStart"/>
            <w:r w:rsidRPr="00D50A96">
              <w:rPr>
                <w:rFonts w:ascii="Cambria" w:eastAsia="Times New Roman" w:hAnsi="Cambria" w:cs="Arial CYR"/>
                <w:sz w:val="16"/>
                <w:szCs w:val="16"/>
              </w:rPr>
              <w:t>МВт·</w:t>
            </w:r>
            <w:proofErr w:type="gramStart"/>
            <w:r w:rsidRPr="00D50A96">
              <w:rPr>
                <w:rFonts w:ascii="Cambria" w:eastAsia="Times New Roman" w:hAnsi="Cambria" w:cs="Arial CYR"/>
                <w:sz w:val="16"/>
                <w:szCs w:val="16"/>
              </w:rPr>
              <w:t>ч</w:t>
            </w:r>
            <w:proofErr w:type="spellEnd"/>
            <w:proofErr w:type="gramEnd"/>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444"/>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4.</w:t>
            </w:r>
          </w:p>
        </w:tc>
        <w:tc>
          <w:tcPr>
            <w:tcW w:w="9063" w:type="dxa"/>
            <w:gridSpan w:val="5"/>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b/>
                <w:bCs/>
                <w:sz w:val="18"/>
                <w:szCs w:val="18"/>
              </w:rPr>
            </w:pPr>
            <w:r w:rsidRPr="00D50A96">
              <w:rPr>
                <w:rFonts w:ascii="Cambria" w:eastAsia="Times New Roman" w:hAnsi="Cambria" w:cs="Arial CYR"/>
                <w:b/>
                <w:bCs/>
                <w:sz w:val="18"/>
                <w:szCs w:val="18"/>
              </w:rPr>
              <w:t>Необходимая валовая выручка по регулируемым видам деятельности организации - всего</w:t>
            </w:r>
          </w:p>
        </w:tc>
      </w:tr>
      <w:tr w:rsidR="00D50A96" w:rsidRPr="00D50A96" w:rsidTr="00D50A96">
        <w:trPr>
          <w:trHeight w:val="82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4.1.</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Расходы, связанные</w:t>
            </w:r>
            <w:r w:rsidRPr="00D50A96">
              <w:rPr>
                <w:rFonts w:ascii="Cambria" w:eastAsia="Times New Roman" w:hAnsi="Cambria" w:cs="Arial CYR"/>
                <w:sz w:val="16"/>
                <w:szCs w:val="16"/>
              </w:rPr>
              <w:br/>
              <w:t>с производством</w:t>
            </w:r>
            <w:r w:rsidRPr="00D50A96">
              <w:rPr>
                <w:rFonts w:ascii="Cambria" w:eastAsia="Times New Roman" w:hAnsi="Cambria" w:cs="Arial CYR"/>
                <w:sz w:val="16"/>
                <w:szCs w:val="16"/>
              </w:rPr>
              <w:br/>
              <w:t xml:space="preserve">и реализацией </w:t>
            </w:r>
            <w:r w:rsidRPr="00D50A96">
              <w:rPr>
                <w:rFonts w:ascii="Cambria" w:eastAsia="Times New Roman" w:hAnsi="Cambria" w:cs="Arial CYR"/>
                <w:sz w:val="16"/>
                <w:szCs w:val="16"/>
                <w:vertAlign w:val="superscript"/>
              </w:rPr>
              <w:t>2, 4</w:t>
            </w:r>
            <w:r w:rsidRPr="00D50A96">
              <w:rPr>
                <w:rFonts w:ascii="Cambria" w:eastAsia="Times New Roman" w:hAnsi="Cambria" w:cs="Arial CYR"/>
                <w:sz w:val="16"/>
                <w:szCs w:val="16"/>
              </w:rPr>
              <w:t xml:space="preserve">; подконтрольные расходы </w:t>
            </w:r>
            <w:r w:rsidRPr="00D50A96">
              <w:rPr>
                <w:rFonts w:ascii="Cambria" w:eastAsia="Times New Roman" w:hAnsi="Cambria" w:cs="Arial CYR"/>
                <w:sz w:val="16"/>
                <w:szCs w:val="16"/>
                <w:vertAlign w:val="superscript"/>
              </w:rPr>
              <w:t>3</w:t>
            </w:r>
            <w:r w:rsidRPr="00D50A96">
              <w:rPr>
                <w:rFonts w:ascii="Cambria" w:eastAsia="Times New Roman" w:hAnsi="Cambria" w:cs="Arial CYR"/>
                <w:sz w:val="16"/>
                <w:szCs w:val="16"/>
              </w:rPr>
              <w:t xml:space="preserve"> - всего</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тыс. рублей</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34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в том числе:</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34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оплата труда</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34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ремонт основных фондов</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34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материальные затраты</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54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lastRenderedPageBreak/>
              <w:t>4.2.</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xml:space="preserve">Расходы, за исключением </w:t>
            </w:r>
            <w:proofErr w:type="gramStart"/>
            <w:r w:rsidRPr="00D50A96">
              <w:rPr>
                <w:rFonts w:ascii="Cambria" w:eastAsia="Times New Roman" w:hAnsi="Cambria" w:cs="Arial CYR"/>
                <w:sz w:val="16"/>
                <w:szCs w:val="16"/>
              </w:rPr>
              <w:t>указанных</w:t>
            </w:r>
            <w:proofErr w:type="gramEnd"/>
            <w:r w:rsidRPr="00D50A96">
              <w:rPr>
                <w:rFonts w:ascii="Cambria" w:eastAsia="Times New Roman" w:hAnsi="Cambria" w:cs="Arial CYR"/>
                <w:sz w:val="16"/>
                <w:szCs w:val="16"/>
              </w:rPr>
              <w:t xml:space="preserve"> в подпункте 4.1 </w:t>
            </w:r>
            <w:r w:rsidRPr="00D50A96">
              <w:rPr>
                <w:rFonts w:ascii="Cambria" w:eastAsia="Times New Roman" w:hAnsi="Cambria" w:cs="Arial CYR"/>
                <w:sz w:val="16"/>
                <w:szCs w:val="16"/>
                <w:vertAlign w:val="superscript"/>
              </w:rPr>
              <w:t>2, 4</w:t>
            </w:r>
            <w:r w:rsidRPr="00D50A96">
              <w:rPr>
                <w:rFonts w:ascii="Cambria" w:eastAsia="Times New Roman" w:hAnsi="Cambria" w:cs="Arial CYR"/>
                <w:sz w:val="16"/>
                <w:szCs w:val="16"/>
              </w:rPr>
              <w:t xml:space="preserve">; неподконтрольные расходы </w:t>
            </w:r>
            <w:r w:rsidRPr="00D50A96">
              <w:rPr>
                <w:rFonts w:ascii="Cambria" w:eastAsia="Times New Roman" w:hAnsi="Cambria" w:cs="Arial CYR"/>
                <w:sz w:val="16"/>
                <w:szCs w:val="16"/>
                <w:vertAlign w:val="superscript"/>
              </w:rPr>
              <w:t>3</w:t>
            </w:r>
            <w:r w:rsidRPr="00D50A96">
              <w:rPr>
                <w:rFonts w:ascii="Cambria" w:eastAsia="Times New Roman" w:hAnsi="Cambria" w:cs="Arial CYR"/>
                <w:sz w:val="16"/>
                <w:szCs w:val="16"/>
              </w:rPr>
              <w:t xml:space="preserve"> - всего </w:t>
            </w:r>
            <w:r w:rsidRPr="00D50A96">
              <w:rPr>
                <w:rFonts w:ascii="Cambria" w:eastAsia="Times New Roman" w:hAnsi="Cambria" w:cs="Arial CYR"/>
                <w:sz w:val="16"/>
                <w:szCs w:val="16"/>
                <w:vertAlign w:val="superscript"/>
              </w:rPr>
              <w:t>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тыс. рублей</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48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4.3.</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xml:space="preserve">Выпадающие, </w:t>
            </w:r>
            <w:r w:rsidRPr="00D50A96">
              <w:rPr>
                <w:rFonts w:ascii="Cambria" w:eastAsia="Times New Roman" w:hAnsi="Cambria" w:cs="Arial CYR"/>
                <w:sz w:val="16"/>
                <w:szCs w:val="16"/>
              </w:rPr>
              <w:br/>
              <w:t>излишние доходы (расходы) прошлых лет</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тыс. рублей</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60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4.4.</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xml:space="preserve">Инвестиции, осуществляемые </w:t>
            </w:r>
            <w:r w:rsidRPr="00D50A96">
              <w:rPr>
                <w:rFonts w:ascii="Cambria" w:eastAsia="Times New Roman" w:hAnsi="Cambria" w:cs="Arial CYR"/>
                <w:sz w:val="16"/>
                <w:szCs w:val="16"/>
              </w:rPr>
              <w:br/>
              <w:t>за счет тарифных источников</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тыс. рублей</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456"/>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4.4.1.</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Реквизиты инвестиционной программы (кем утверждена, дата утверждения, номер приказа)</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i/>
                <w:iCs/>
                <w:sz w:val="16"/>
                <w:szCs w:val="16"/>
              </w:rPr>
            </w:pPr>
            <w:proofErr w:type="spellStart"/>
            <w:r w:rsidRPr="00D50A96">
              <w:rPr>
                <w:rFonts w:ascii="Cambria" w:eastAsia="Times New Roman" w:hAnsi="Cambria" w:cs="Arial CYR"/>
                <w:i/>
                <w:iCs/>
                <w:sz w:val="16"/>
                <w:szCs w:val="16"/>
              </w:rPr>
              <w:t>Справочно</w:t>
            </w:r>
            <w:proofErr w:type="spellEnd"/>
            <w:r w:rsidRPr="00D50A96">
              <w:rPr>
                <w:rFonts w:ascii="Cambria" w:eastAsia="Times New Roman" w:hAnsi="Cambria" w:cs="Arial CYR"/>
                <w:i/>
                <w:iCs/>
                <w:sz w:val="16"/>
                <w:szCs w:val="16"/>
              </w:rPr>
              <w:t>:</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r>
      <w:tr w:rsidR="00D50A96" w:rsidRPr="00D50A96" w:rsidTr="00D50A96">
        <w:trPr>
          <w:trHeight w:val="28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xml:space="preserve">Объем условных единиц </w:t>
            </w:r>
            <w:r w:rsidRPr="00D50A96">
              <w:rPr>
                <w:rFonts w:ascii="Cambria" w:eastAsia="Times New Roman" w:hAnsi="Cambria" w:cs="Arial CYR"/>
                <w:sz w:val="16"/>
                <w:szCs w:val="16"/>
                <w:vertAlign w:val="superscript"/>
              </w:rPr>
              <w:t>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у.е.</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444"/>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xml:space="preserve">Операционные расходы на условную единицу </w:t>
            </w:r>
            <w:r w:rsidRPr="00D50A96">
              <w:rPr>
                <w:rFonts w:ascii="Cambria" w:eastAsia="Times New Roman" w:hAnsi="Cambria" w:cs="Arial CYR"/>
                <w:sz w:val="16"/>
                <w:szCs w:val="16"/>
                <w:vertAlign w:val="superscript"/>
              </w:rPr>
              <w:t>3</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тыс. рублей (у.е.)</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0</w:t>
            </w:r>
          </w:p>
        </w:tc>
      </w:tr>
      <w:tr w:rsidR="00D50A96" w:rsidRPr="00D50A96" w:rsidTr="00D50A96">
        <w:trPr>
          <w:trHeight w:val="285"/>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5.</w:t>
            </w:r>
          </w:p>
        </w:tc>
        <w:tc>
          <w:tcPr>
            <w:tcW w:w="9063" w:type="dxa"/>
            <w:gridSpan w:val="5"/>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b/>
                <w:bCs/>
                <w:sz w:val="18"/>
                <w:szCs w:val="18"/>
              </w:rPr>
            </w:pPr>
            <w:r w:rsidRPr="00D50A96">
              <w:rPr>
                <w:rFonts w:ascii="Cambria" w:eastAsia="Times New Roman" w:hAnsi="Cambria" w:cs="Arial CYR"/>
                <w:b/>
                <w:bCs/>
                <w:sz w:val="18"/>
                <w:szCs w:val="18"/>
              </w:rPr>
              <w:t>Показатели численности персонала и фонда оплаты труда по регулируемым видам деятельности</w:t>
            </w:r>
          </w:p>
        </w:tc>
      </w:tr>
      <w:tr w:rsidR="00D50A96" w:rsidRPr="00D50A96" w:rsidTr="00D50A96">
        <w:trPr>
          <w:trHeight w:val="28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5.1.</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Среднесписочная численность персонала</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человек</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50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50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50</w:t>
            </w:r>
          </w:p>
        </w:tc>
      </w:tr>
      <w:tr w:rsidR="00D50A96" w:rsidRPr="00D50A96" w:rsidTr="00D50A96">
        <w:trPr>
          <w:trHeight w:val="408"/>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5.2.</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Среднемесячная заработная плата на одного работника</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xml:space="preserve">тыс. рублей на </w:t>
            </w:r>
            <w:r w:rsidRPr="00D50A96">
              <w:rPr>
                <w:rFonts w:ascii="Cambria" w:eastAsia="Times New Roman" w:hAnsi="Cambria" w:cs="Arial CYR"/>
                <w:sz w:val="16"/>
                <w:szCs w:val="16"/>
              </w:rPr>
              <w:br/>
              <w:t>человека</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57,9</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60,00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63</w:t>
            </w:r>
          </w:p>
        </w:tc>
      </w:tr>
      <w:tr w:rsidR="00D50A96" w:rsidRPr="00D50A96" w:rsidTr="00D50A96">
        <w:trPr>
          <w:trHeight w:val="516"/>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5.3.</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Реквизиты отраслевого тарифного соглашения (дата утверждения, срок действия)</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r>
      <w:tr w:rsidR="00D50A96" w:rsidRPr="00D50A96" w:rsidTr="00D50A96">
        <w:trPr>
          <w:trHeight w:val="192"/>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i/>
                <w:iCs/>
                <w:sz w:val="16"/>
                <w:szCs w:val="16"/>
              </w:rPr>
            </w:pPr>
            <w:proofErr w:type="spellStart"/>
            <w:r w:rsidRPr="00D50A96">
              <w:rPr>
                <w:rFonts w:ascii="Cambria" w:eastAsia="Times New Roman" w:hAnsi="Cambria" w:cs="Arial CYR"/>
                <w:i/>
                <w:iCs/>
                <w:sz w:val="16"/>
                <w:szCs w:val="16"/>
              </w:rPr>
              <w:t>Справочно</w:t>
            </w:r>
            <w:proofErr w:type="spellEnd"/>
            <w:r w:rsidRPr="00D50A96">
              <w:rPr>
                <w:rFonts w:ascii="Cambria" w:eastAsia="Times New Roman" w:hAnsi="Cambria" w:cs="Arial CYR"/>
                <w:i/>
                <w:iCs/>
                <w:sz w:val="16"/>
                <w:szCs w:val="16"/>
              </w:rPr>
              <w:t>:</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r>
      <w:tr w:rsidR="00D50A96" w:rsidRPr="00D50A96" w:rsidTr="00D50A96">
        <w:trPr>
          <w:trHeight w:val="192"/>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Уставный капитал (складочный капитал, уставный фонд, вклады товарищей)</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тыс. рублей</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10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10</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10</w:t>
            </w:r>
          </w:p>
        </w:tc>
      </w:tr>
      <w:tr w:rsidR="00D50A96" w:rsidRPr="00D50A96" w:rsidTr="00D50A96">
        <w:trPr>
          <w:trHeight w:val="192"/>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 </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rPr>
                <w:rFonts w:ascii="Cambria" w:eastAsia="Times New Roman" w:hAnsi="Cambria" w:cs="Arial CYR"/>
                <w:sz w:val="16"/>
                <w:szCs w:val="16"/>
              </w:rPr>
            </w:pPr>
            <w:r w:rsidRPr="00D50A96">
              <w:rPr>
                <w:rFonts w:ascii="Cambria" w:eastAsia="Times New Roman" w:hAnsi="Cambria" w:cs="Arial CYR"/>
                <w:sz w:val="16"/>
                <w:szCs w:val="16"/>
              </w:rPr>
              <w:t>Анализ финансовой устойчивости по величине излишка (недостатка) собственных оборотных средств</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тыс. рублей</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D50A96" w:rsidRPr="00D50A96" w:rsidRDefault="00D50A96" w:rsidP="00D50A96">
            <w:pPr>
              <w:autoSpaceDE/>
              <w:autoSpaceDN/>
              <w:jc w:val="center"/>
              <w:rPr>
                <w:rFonts w:ascii="Cambria" w:eastAsia="Times New Roman" w:hAnsi="Cambria" w:cs="Arial CYR"/>
                <w:sz w:val="16"/>
                <w:szCs w:val="16"/>
              </w:rPr>
            </w:pPr>
            <w:r w:rsidRPr="00D50A96">
              <w:rPr>
                <w:rFonts w:ascii="Cambria" w:eastAsia="Times New Roman" w:hAnsi="Cambria" w:cs="Arial CYR"/>
                <w:sz w:val="16"/>
                <w:szCs w:val="16"/>
              </w:rPr>
              <w:t> </w:t>
            </w:r>
          </w:p>
        </w:tc>
      </w:tr>
    </w:tbl>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p>
    <w:p w:rsidR="00D50A96" w:rsidRDefault="00D50A96">
      <w:pPr>
        <w:rPr>
          <w:sz w:val="24"/>
          <w:szCs w:val="24"/>
        </w:rPr>
      </w:pPr>
      <w:bookmarkStart w:id="2" w:name="_GoBack"/>
      <w:bookmarkEnd w:id="2"/>
    </w:p>
    <w:p w:rsidR="00D50A96" w:rsidRDefault="00D50A96">
      <w:pPr>
        <w:rPr>
          <w:sz w:val="24"/>
          <w:szCs w:val="24"/>
        </w:rPr>
      </w:pPr>
    </w:p>
    <w:p w:rsidR="00D50A96" w:rsidRDefault="00D50A96">
      <w:pPr>
        <w:rPr>
          <w:sz w:val="24"/>
          <w:szCs w:val="24"/>
        </w:rPr>
      </w:pPr>
    </w:p>
    <w:tbl>
      <w:tblPr>
        <w:tblW w:w="9833" w:type="dxa"/>
        <w:tblInd w:w="93" w:type="dxa"/>
        <w:tblLook w:val="04A0" w:firstRow="1" w:lastRow="0" w:firstColumn="1" w:lastColumn="0" w:noHBand="0" w:noVBand="1"/>
      </w:tblPr>
      <w:tblGrid>
        <w:gridCol w:w="713"/>
        <w:gridCol w:w="4122"/>
        <w:gridCol w:w="846"/>
        <w:gridCol w:w="1526"/>
        <w:gridCol w:w="1297"/>
        <w:gridCol w:w="1329"/>
      </w:tblGrid>
      <w:tr w:rsidR="00AF75F0" w:rsidRPr="00AF75F0" w:rsidTr="00AF75F0">
        <w:trPr>
          <w:trHeight w:val="450"/>
        </w:trPr>
        <w:tc>
          <w:tcPr>
            <w:tcW w:w="9833" w:type="dxa"/>
            <w:gridSpan w:val="6"/>
            <w:tcBorders>
              <w:top w:val="nil"/>
              <w:left w:val="nil"/>
              <w:bottom w:val="nil"/>
              <w:right w:val="nil"/>
            </w:tcBorders>
            <w:shd w:val="clear" w:color="auto" w:fill="auto"/>
            <w:vAlign w:val="bottom"/>
            <w:hideMark/>
          </w:tcPr>
          <w:p w:rsidR="00AF75F0" w:rsidRPr="00AF75F0" w:rsidRDefault="00AF75F0" w:rsidP="00AF75F0">
            <w:pPr>
              <w:autoSpaceDE/>
              <w:autoSpaceDN/>
              <w:jc w:val="right"/>
              <w:rPr>
                <w:rFonts w:ascii="Cambria" w:eastAsia="Times New Roman" w:hAnsi="Cambria"/>
                <w:b/>
                <w:bCs/>
              </w:rPr>
            </w:pPr>
            <w:bookmarkStart w:id="3" w:name="RANGE!A1:F103"/>
            <w:r w:rsidRPr="00AF75F0">
              <w:rPr>
                <w:rFonts w:ascii="Cambria" w:eastAsia="Times New Roman" w:hAnsi="Cambria"/>
                <w:b/>
                <w:bCs/>
              </w:rPr>
              <w:lastRenderedPageBreak/>
              <w:t>Приложение № 3</w:t>
            </w:r>
            <w:r w:rsidRPr="00AF75F0">
              <w:rPr>
                <w:rFonts w:ascii="Cambria" w:eastAsia="Times New Roman" w:hAnsi="Cambria"/>
                <w:b/>
                <w:bCs/>
              </w:rPr>
              <w:br/>
              <w:t>к предложению о размере цен (тарифов), долгосрочных параметров регулирования</w:t>
            </w:r>
            <w:bookmarkEnd w:id="3"/>
          </w:p>
        </w:tc>
      </w:tr>
      <w:tr w:rsidR="00AF75F0" w:rsidRPr="00AF75F0" w:rsidTr="00AF75F0">
        <w:trPr>
          <w:trHeight w:val="450"/>
        </w:trPr>
        <w:tc>
          <w:tcPr>
            <w:tcW w:w="9833" w:type="dxa"/>
            <w:gridSpan w:val="6"/>
            <w:tcBorders>
              <w:top w:val="nil"/>
              <w:left w:val="nil"/>
              <w:bottom w:val="nil"/>
              <w:right w:val="nil"/>
            </w:tcBorders>
            <w:shd w:val="clear" w:color="auto" w:fill="auto"/>
            <w:vAlign w:val="center"/>
            <w:hideMark/>
          </w:tcPr>
          <w:p w:rsidR="00AF75F0" w:rsidRPr="00AF75F0" w:rsidRDefault="00AF75F0" w:rsidP="00AF75F0">
            <w:pPr>
              <w:autoSpaceDE/>
              <w:autoSpaceDN/>
              <w:jc w:val="center"/>
              <w:rPr>
                <w:rFonts w:ascii="Cambria" w:eastAsia="Times New Roman" w:hAnsi="Cambria"/>
                <w:b/>
                <w:bCs/>
                <w:sz w:val="24"/>
                <w:szCs w:val="24"/>
              </w:rPr>
            </w:pPr>
            <w:r w:rsidRPr="00AF75F0">
              <w:rPr>
                <w:rFonts w:ascii="Cambria" w:eastAsia="Times New Roman" w:hAnsi="Cambria"/>
                <w:b/>
                <w:bCs/>
                <w:sz w:val="24"/>
                <w:szCs w:val="24"/>
              </w:rPr>
              <w:t>Раздел 2. Основные показатели деятельности гарантирующих поставщиков</w:t>
            </w:r>
          </w:p>
        </w:tc>
      </w:tr>
      <w:tr w:rsidR="00AF75F0" w:rsidRPr="00AF75F0" w:rsidTr="00AF75F0">
        <w:trPr>
          <w:trHeight w:val="345"/>
        </w:trPr>
        <w:tc>
          <w:tcPr>
            <w:tcW w:w="9833" w:type="dxa"/>
            <w:gridSpan w:val="6"/>
            <w:tcBorders>
              <w:top w:val="nil"/>
              <w:left w:val="nil"/>
              <w:bottom w:val="nil"/>
              <w:right w:val="nil"/>
            </w:tcBorders>
            <w:shd w:val="clear" w:color="auto" w:fill="auto"/>
            <w:vAlign w:val="center"/>
            <w:hideMark/>
          </w:tcPr>
          <w:p w:rsidR="00AF75F0" w:rsidRPr="00AF75F0" w:rsidRDefault="00AF75F0" w:rsidP="00AF75F0">
            <w:pPr>
              <w:autoSpaceDE/>
              <w:autoSpaceDN/>
              <w:jc w:val="center"/>
              <w:rPr>
                <w:rFonts w:ascii="Cambria" w:eastAsia="Times New Roman" w:hAnsi="Cambria"/>
                <w:b/>
                <w:bCs/>
                <w:sz w:val="24"/>
                <w:szCs w:val="24"/>
              </w:rPr>
            </w:pPr>
            <w:r w:rsidRPr="00AF75F0">
              <w:rPr>
                <w:rFonts w:ascii="Cambria" w:eastAsia="Times New Roman" w:hAnsi="Cambria"/>
                <w:b/>
                <w:bCs/>
                <w:sz w:val="24"/>
                <w:szCs w:val="24"/>
              </w:rPr>
              <w:t>ООО "Сахалинская Газовая Энергетическая компания"</w:t>
            </w:r>
          </w:p>
        </w:tc>
      </w:tr>
      <w:tr w:rsidR="00AF75F0" w:rsidRPr="00AF75F0" w:rsidTr="00AF75F0">
        <w:trPr>
          <w:trHeight w:val="255"/>
        </w:trPr>
        <w:tc>
          <w:tcPr>
            <w:tcW w:w="713" w:type="dxa"/>
            <w:tcBorders>
              <w:top w:val="nil"/>
              <w:left w:val="nil"/>
              <w:bottom w:val="nil"/>
              <w:right w:val="nil"/>
            </w:tcBorders>
            <w:shd w:val="clear" w:color="auto" w:fill="auto"/>
            <w:noWrap/>
            <w:vAlign w:val="bottom"/>
            <w:hideMark/>
          </w:tcPr>
          <w:p w:rsidR="00AF75F0" w:rsidRPr="00AF75F0" w:rsidRDefault="00AF75F0" w:rsidP="00AF75F0">
            <w:pPr>
              <w:autoSpaceDE/>
              <w:autoSpaceDN/>
              <w:rPr>
                <w:rFonts w:ascii="Cambria" w:eastAsia="Times New Roman" w:hAnsi="Cambria"/>
                <w:sz w:val="16"/>
                <w:szCs w:val="16"/>
              </w:rPr>
            </w:pPr>
          </w:p>
        </w:tc>
        <w:tc>
          <w:tcPr>
            <w:tcW w:w="4122" w:type="dxa"/>
            <w:tcBorders>
              <w:top w:val="nil"/>
              <w:left w:val="nil"/>
              <w:bottom w:val="nil"/>
              <w:right w:val="nil"/>
            </w:tcBorders>
            <w:shd w:val="clear" w:color="auto" w:fill="auto"/>
            <w:noWrap/>
            <w:vAlign w:val="bottom"/>
            <w:hideMark/>
          </w:tcPr>
          <w:p w:rsidR="00AF75F0" w:rsidRPr="00AF75F0" w:rsidRDefault="00AF75F0" w:rsidP="00AF75F0">
            <w:pPr>
              <w:autoSpaceDE/>
              <w:autoSpaceDN/>
              <w:rPr>
                <w:rFonts w:ascii="Cambria" w:eastAsia="Times New Roman" w:hAnsi="Cambria"/>
                <w:sz w:val="16"/>
                <w:szCs w:val="16"/>
              </w:rPr>
            </w:pPr>
          </w:p>
        </w:tc>
        <w:tc>
          <w:tcPr>
            <w:tcW w:w="846" w:type="dxa"/>
            <w:tcBorders>
              <w:top w:val="nil"/>
              <w:left w:val="nil"/>
              <w:bottom w:val="nil"/>
              <w:right w:val="nil"/>
            </w:tcBorders>
            <w:shd w:val="clear" w:color="auto" w:fill="auto"/>
            <w:noWrap/>
            <w:vAlign w:val="bottom"/>
            <w:hideMark/>
          </w:tcPr>
          <w:p w:rsidR="00AF75F0" w:rsidRPr="00AF75F0" w:rsidRDefault="00AF75F0" w:rsidP="00AF75F0">
            <w:pPr>
              <w:autoSpaceDE/>
              <w:autoSpaceDN/>
              <w:rPr>
                <w:rFonts w:ascii="Cambria" w:eastAsia="Times New Roman" w:hAnsi="Cambria"/>
                <w:sz w:val="12"/>
                <w:szCs w:val="12"/>
              </w:rPr>
            </w:pPr>
          </w:p>
        </w:tc>
        <w:tc>
          <w:tcPr>
            <w:tcW w:w="1526" w:type="dxa"/>
            <w:tcBorders>
              <w:top w:val="nil"/>
              <w:left w:val="nil"/>
              <w:bottom w:val="nil"/>
              <w:right w:val="nil"/>
            </w:tcBorders>
            <w:shd w:val="clear" w:color="auto" w:fill="auto"/>
            <w:noWrap/>
            <w:vAlign w:val="bottom"/>
            <w:hideMark/>
          </w:tcPr>
          <w:p w:rsidR="00AF75F0" w:rsidRPr="00AF75F0" w:rsidRDefault="00AF75F0" w:rsidP="00AF75F0">
            <w:pPr>
              <w:autoSpaceDE/>
              <w:autoSpaceDN/>
              <w:rPr>
                <w:rFonts w:ascii="Cambria" w:eastAsia="Times New Roman" w:hAnsi="Cambria"/>
                <w:sz w:val="16"/>
                <w:szCs w:val="16"/>
              </w:rPr>
            </w:pPr>
          </w:p>
        </w:tc>
        <w:tc>
          <w:tcPr>
            <w:tcW w:w="1297" w:type="dxa"/>
            <w:tcBorders>
              <w:top w:val="nil"/>
              <w:left w:val="nil"/>
              <w:bottom w:val="nil"/>
              <w:right w:val="nil"/>
            </w:tcBorders>
            <w:shd w:val="clear" w:color="auto" w:fill="auto"/>
            <w:noWrap/>
            <w:vAlign w:val="bottom"/>
            <w:hideMark/>
          </w:tcPr>
          <w:p w:rsidR="00AF75F0" w:rsidRPr="00AF75F0" w:rsidRDefault="00AF75F0" w:rsidP="00AF75F0">
            <w:pPr>
              <w:autoSpaceDE/>
              <w:autoSpaceDN/>
              <w:rPr>
                <w:rFonts w:ascii="Cambria" w:eastAsia="Times New Roman" w:hAnsi="Cambria"/>
                <w:sz w:val="16"/>
                <w:szCs w:val="16"/>
              </w:rPr>
            </w:pPr>
          </w:p>
        </w:tc>
        <w:tc>
          <w:tcPr>
            <w:tcW w:w="1329" w:type="dxa"/>
            <w:tcBorders>
              <w:top w:val="nil"/>
              <w:left w:val="nil"/>
              <w:bottom w:val="nil"/>
              <w:right w:val="nil"/>
            </w:tcBorders>
            <w:shd w:val="clear" w:color="auto" w:fill="auto"/>
            <w:noWrap/>
            <w:vAlign w:val="bottom"/>
            <w:hideMark/>
          </w:tcPr>
          <w:p w:rsidR="00AF75F0" w:rsidRPr="00AF75F0" w:rsidRDefault="00AF75F0" w:rsidP="00AF75F0">
            <w:pPr>
              <w:autoSpaceDE/>
              <w:autoSpaceDN/>
              <w:rPr>
                <w:rFonts w:ascii="Cambria" w:eastAsia="Times New Roman" w:hAnsi="Cambria"/>
                <w:sz w:val="16"/>
                <w:szCs w:val="16"/>
              </w:rPr>
            </w:pPr>
          </w:p>
        </w:tc>
      </w:tr>
      <w:tr w:rsidR="00AF75F0" w:rsidRPr="00AF75F0" w:rsidTr="00AF75F0">
        <w:trPr>
          <w:trHeight w:val="80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sz w:val="16"/>
                <w:szCs w:val="16"/>
              </w:rPr>
            </w:pPr>
            <w:r w:rsidRPr="00AF75F0">
              <w:rPr>
                <w:rFonts w:ascii="Cambria" w:eastAsia="Times New Roman" w:hAnsi="Cambria"/>
                <w:sz w:val="16"/>
                <w:szCs w:val="16"/>
              </w:rPr>
              <w:t xml:space="preserve">№ </w:t>
            </w:r>
            <w:r w:rsidRPr="00AF75F0">
              <w:rPr>
                <w:rFonts w:ascii="Cambria" w:eastAsia="Times New Roman" w:hAnsi="Cambria"/>
                <w:sz w:val="16"/>
                <w:szCs w:val="16"/>
              </w:rPr>
              <w:br/>
            </w:r>
            <w:proofErr w:type="gramStart"/>
            <w:r w:rsidRPr="00AF75F0">
              <w:rPr>
                <w:rFonts w:ascii="Cambria" w:eastAsia="Times New Roman" w:hAnsi="Cambria"/>
                <w:sz w:val="16"/>
                <w:szCs w:val="16"/>
              </w:rPr>
              <w:t>п</w:t>
            </w:r>
            <w:proofErr w:type="gramEnd"/>
            <w:r w:rsidRPr="00AF75F0">
              <w:rPr>
                <w:rFonts w:ascii="Cambria" w:eastAsia="Times New Roman" w:hAnsi="Cambria"/>
                <w:sz w:val="16"/>
                <w:szCs w:val="16"/>
              </w:rPr>
              <w:t>/п</w:t>
            </w:r>
          </w:p>
        </w:tc>
        <w:tc>
          <w:tcPr>
            <w:tcW w:w="4122"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Наименование показателей</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2"/>
                <w:szCs w:val="12"/>
              </w:rPr>
            </w:pPr>
            <w:r w:rsidRPr="00AF75F0">
              <w:rPr>
                <w:rFonts w:ascii="Cambria" w:eastAsia="Times New Roman" w:hAnsi="Cambria"/>
                <w:sz w:val="12"/>
                <w:szCs w:val="12"/>
              </w:rPr>
              <w:t>Единица измерения</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xml:space="preserve">Фактические показатели </w:t>
            </w:r>
            <w:r w:rsidRPr="00AF75F0">
              <w:rPr>
                <w:rFonts w:ascii="Cambria" w:eastAsia="Times New Roman" w:hAnsi="Cambria"/>
                <w:sz w:val="16"/>
                <w:szCs w:val="16"/>
              </w:rPr>
              <w:br/>
              <w:t>за год, предшествующий базовому периоду</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xml:space="preserve">Показатели, утвержденные </w:t>
            </w:r>
            <w:r w:rsidRPr="00AF75F0">
              <w:rPr>
                <w:rFonts w:ascii="Cambria" w:eastAsia="Times New Roman" w:hAnsi="Cambria"/>
                <w:sz w:val="16"/>
                <w:szCs w:val="16"/>
              </w:rPr>
              <w:br/>
              <w:t>на базовый период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xml:space="preserve">Предложения </w:t>
            </w:r>
            <w:r w:rsidRPr="00AF75F0">
              <w:rPr>
                <w:rFonts w:ascii="Cambria" w:eastAsia="Times New Roman" w:hAnsi="Cambria"/>
                <w:sz w:val="16"/>
                <w:szCs w:val="16"/>
              </w:rPr>
              <w:br/>
              <w:t>на расчетный период регулирования</w:t>
            </w:r>
          </w:p>
        </w:tc>
      </w:tr>
      <w:tr w:rsidR="00AF75F0" w:rsidRPr="00AF75F0" w:rsidTr="00AF75F0">
        <w:trPr>
          <w:trHeight w:val="312"/>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Объемы полезного отпуска электрической энергии - всего</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1526" w:type="dxa"/>
            <w:tcBorders>
              <w:top w:val="nil"/>
              <w:left w:val="nil"/>
              <w:bottom w:val="single" w:sz="4" w:space="0" w:color="auto"/>
              <w:right w:val="single" w:sz="4" w:space="0" w:color="auto"/>
            </w:tcBorders>
            <w:shd w:val="clear" w:color="auto" w:fill="auto"/>
            <w:noWrap/>
            <w:vAlign w:val="center"/>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14405,639</w:t>
            </w:r>
          </w:p>
        </w:tc>
        <w:tc>
          <w:tcPr>
            <w:tcW w:w="1297" w:type="dxa"/>
            <w:tcBorders>
              <w:top w:val="nil"/>
              <w:left w:val="nil"/>
              <w:bottom w:val="single" w:sz="4" w:space="0" w:color="auto"/>
              <w:right w:val="single" w:sz="4" w:space="0" w:color="auto"/>
            </w:tcBorders>
            <w:shd w:val="clear" w:color="auto" w:fill="auto"/>
            <w:noWrap/>
            <w:vAlign w:val="center"/>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14121,800</w:t>
            </w:r>
          </w:p>
        </w:tc>
        <w:tc>
          <w:tcPr>
            <w:tcW w:w="1329" w:type="dxa"/>
            <w:tcBorders>
              <w:top w:val="nil"/>
              <w:left w:val="nil"/>
              <w:bottom w:val="single" w:sz="4" w:space="0" w:color="auto"/>
              <w:right w:val="single" w:sz="4" w:space="0" w:color="auto"/>
            </w:tcBorders>
            <w:shd w:val="clear" w:color="auto" w:fill="auto"/>
            <w:noWrap/>
            <w:vAlign w:val="center"/>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14699,600</w:t>
            </w:r>
          </w:p>
        </w:tc>
      </w:tr>
      <w:tr w:rsidR="00AF75F0" w:rsidRPr="00AF75F0" w:rsidTr="00AF75F0">
        <w:trPr>
          <w:trHeight w:val="192"/>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 том числе: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64"/>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населению и приравненным к нему категориям потребителей</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vAlign w:val="center"/>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10292,792</w:t>
            </w:r>
          </w:p>
        </w:tc>
        <w:tc>
          <w:tcPr>
            <w:tcW w:w="1297" w:type="dxa"/>
            <w:tcBorders>
              <w:top w:val="nil"/>
              <w:left w:val="nil"/>
              <w:bottom w:val="single" w:sz="4" w:space="0" w:color="auto"/>
              <w:right w:val="single" w:sz="4" w:space="0" w:color="auto"/>
            </w:tcBorders>
            <w:shd w:val="clear" w:color="000000" w:fill="FFFFFF"/>
            <w:noWrap/>
            <w:vAlign w:val="center"/>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10089,400</w:t>
            </w:r>
          </w:p>
        </w:tc>
        <w:tc>
          <w:tcPr>
            <w:tcW w:w="1329" w:type="dxa"/>
            <w:tcBorders>
              <w:top w:val="nil"/>
              <w:left w:val="nil"/>
              <w:bottom w:val="single" w:sz="4" w:space="0" w:color="auto"/>
              <w:right w:val="single" w:sz="4" w:space="0" w:color="auto"/>
            </w:tcBorders>
            <w:shd w:val="clear" w:color="auto" w:fill="auto"/>
            <w:noWrap/>
            <w:vAlign w:val="center"/>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10756,300</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1.1.А.</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 пределах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1.1.Б.</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сверх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 том числе: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000000" w:fill="FFFFFF"/>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1.1.1.</w:t>
            </w:r>
          </w:p>
        </w:tc>
        <w:tc>
          <w:tcPr>
            <w:tcW w:w="4122" w:type="dxa"/>
            <w:tcBorders>
              <w:top w:val="nil"/>
              <w:left w:val="nil"/>
              <w:bottom w:val="single" w:sz="4" w:space="0" w:color="auto"/>
              <w:right w:val="single" w:sz="4" w:space="0" w:color="auto"/>
            </w:tcBorders>
            <w:shd w:val="clear" w:color="000000" w:fill="FFFFFF"/>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xml:space="preserve">население, проживающее </w:t>
            </w:r>
            <w:r w:rsidRPr="00AF75F0">
              <w:rPr>
                <w:rFonts w:ascii="Cambria" w:eastAsia="Times New Roman" w:hAnsi="Cambria"/>
                <w:color w:val="000000"/>
                <w:sz w:val="16"/>
                <w:szCs w:val="16"/>
              </w:rPr>
              <w:br/>
              <w:t>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846" w:type="dxa"/>
            <w:tcBorders>
              <w:top w:val="nil"/>
              <w:left w:val="nil"/>
              <w:bottom w:val="single" w:sz="4" w:space="0" w:color="auto"/>
              <w:right w:val="single" w:sz="4" w:space="0" w:color="auto"/>
            </w:tcBorders>
            <w:shd w:val="clear" w:color="000000" w:fill="FFFFFF"/>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13,010</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13,768</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12,461</w:t>
            </w:r>
          </w:p>
        </w:tc>
      </w:tr>
      <w:tr w:rsidR="00AF75F0" w:rsidRPr="00AF75F0" w:rsidTr="00AF75F0">
        <w:trPr>
          <w:trHeight w:val="27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1.1.1.А.</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 пределах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7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7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7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1.1.1.Б.</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сверх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7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7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684"/>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1.1.2.</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xml:space="preserve">население, проживающее </w:t>
            </w:r>
            <w:r w:rsidRPr="00AF75F0">
              <w:rPr>
                <w:rFonts w:ascii="Cambria" w:eastAsia="Times New Roman" w:hAnsi="Cambria"/>
                <w:color w:val="000000"/>
                <w:sz w:val="16"/>
                <w:szCs w:val="16"/>
              </w:rPr>
              <w:br/>
              <w:t>в городских населенных пунктах в домах, оборудованных в установленном порядке стационарными электроплитами</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000000" w:fill="FFFFFF"/>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1776,931</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1731,314</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1645,516</w:t>
            </w:r>
          </w:p>
        </w:tc>
      </w:tr>
      <w:tr w:rsidR="00AF75F0" w:rsidRPr="00AF75F0" w:rsidTr="00AF75F0">
        <w:trPr>
          <w:trHeight w:val="24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1.1.2.А.</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 пределах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1.1.2.Б.</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сверх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1.1.3.</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xml:space="preserve">население, проживающее </w:t>
            </w:r>
            <w:r w:rsidRPr="00AF75F0">
              <w:rPr>
                <w:rFonts w:ascii="Cambria" w:eastAsia="Times New Roman" w:hAnsi="Cambria"/>
                <w:color w:val="000000"/>
                <w:sz w:val="16"/>
                <w:szCs w:val="16"/>
              </w:rPr>
              <w:br/>
              <w:t>в городских населенных пунктах в домах, оборудованных в установленном порядке стационарными электроотопительными установками</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1.1.3.А.</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 пределах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1.1.3.Б.</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сверх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1.1.4.</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xml:space="preserve">население, проживающее </w:t>
            </w:r>
            <w:r w:rsidRPr="00AF75F0">
              <w:rPr>
                <w:rFonts w:ascii="Cambria" w:eastAsia="Times New Roman" w:hAnsi="Cambria"/>
                <w:color w:val="000000"/>
                <w:sz w:val="16"/>
                <w:szCs w:val="16"/>
              </w:rPr>
              <w:br/>
              <w:t>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1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1.1.4.А.</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 пределах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1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1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1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1.1.4.Б.</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сверх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1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1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1.1.5.</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xml:space="preserve">население, проживающее </w:t>
            </w:r>
            <w:r w:rsidRPr="00AF75F0">
              <w:rPr>
                <w:rFonts w:ascii="Cambria" w:eastAsia="Times New Roman" w:hAnsi="Cambria"/>
                <w:color w:val="000000"/>
                <w:sz w:val="16"/>
                <w:szCs w:val="16"/>
              </w:rPr>
              <w:br/>
              <w:t>в сельских населенных пунктах</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1.1.5.А.</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 пределах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lastRenderedPageBreak/>
              <w:t> </w:t>
            </w:r>
          </w:p>
        </w:tc>
        <w:tc>
          <w:tcPr>
            <w:tcW w:w="4122" w:type="dxa"/>
            <w:tcBorders>
              <w:top w:val="single" w:sz="4" w:space="0" w:color="auto"/>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single" w:sz="4" w:space="0" w:color="auto"/>
              <w:left w:val="single" w:sz="4" w:space="0" w:color="auto"/>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single" w:sz="4" w:space="0" w:color="auto"/>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single" w:sz="4" w:space="0" w:color="auto"/>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single" w:sz="4" w:space="0" w:color="auto"/>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single" w:sz="4" w:space="0" w:color="auto"/>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single" w:sz="4" w:space="0" w:color="auto"/>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1.1.5.Б.</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сверх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16"/>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1.1.6.</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потребители, приравненные к населению, - всего</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8502,851</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8344,318</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9098,323</w:t>
            </w:r>
          </w:p>
        </w:tc>
      </w:tr>
      <w:tr w:rsidR="00AF75F0" w:rsidRPr="00AF75F0" w:rsidTr="00AF75F0">
        <w:trPr>
          <w:trHeight w:val="19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1.1.6.А.</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 пределах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19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19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19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1.1.6.Б.</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сверх социальной нормы</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19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19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1.2.</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vAlign w:val="center"/>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4112,848</w:t>
            </w:r>
          </w:p>
        </w:tc>
        <w:tc>
          <w:tcPr>
            <w:tcW w:w="1297" w:type="dxa"/>
            <w:tcBorders>
              <w:top w:val="nil"/>
              <w:left w:val="nil"/>
              <w:bottom w:val="single" w:sz="4" w:space="0" w:color="auto"/>
              <w:right w:val="single" w:sz="4" w:space="0" w:color="auto"/>
            </w:tcBorders>
            <w:shd w:val="clear" w:color="000000" w:fill="FFFFFF"/>
            <w:noWrap/>
            <w:vAlign w:val="center"/>
            <w:hideMark/>
          </w:tcPr>
          <w:p w:rsidR="00AF75F0" w:rsidRPr="00AF75F0" w:rsidRDefault="00AF75F0" w:rsidP="00AF75F0">
            <w:pPr>
              <w:autoSpaceDE/>
              <w:autoSpaceDN/>
              <w:jc w:val="center"/>
              <w:rPr>
                <w:rFonts w:eastAsia="Times New Roman"/>
                <w:b/>
                <w:bCs/>
                <w:sz w:val="16"/>
                <w:szCs w:val="16"/>
              </w:rPr>
            </w:pPr>
            <w:r w:rsidRPr="00AF75F0">
              <w:rPr>
                <w:rFonts w:eastAsia="Times New Roman"/>
                <w:b/>
                <w:bCs/>
                <w:sz w:val="16"/>
                <w:szCs w:val="16"/>
              </w:rPr>
              <w:t>4032,400</w:t>
            </w:r>
          </w:p>
        </w:tc>
        <w:tc>
          <w:tcPr>
            <w:tcW w:w="1329" w:type="dxa"/>
            <w:tcBorders>
              <w:top w:val="nil"/>
              <w:left w:val="nil"/>
              <w:bottom w:val="single" w:sz="4" w:space="0" w:color="auto"/>
              <w:right w:val="single" w:sz="4" w:space="0" w:color="auto"/>
            </w:tcBorders>
            <w:shd w:val="clear" w:color="auto" w:fill="auto"/>
            <w:noWrap/>
            <w:vAlign w:val="center"/>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3943,300</w:t>
            </w:r>
          </w:p>
        </w:tc>
      </w:tr>
      <w:tr w:rsidR="00AF75F0" w:rsidRPr="00AF75F0" w:rsidTr="00AF75F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менее 150 кВт</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000000" w:fill="FFFFFF"/>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2 726,140</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2 523,684</w:t>
            </w:r>
          </w:p>
        </w:tc>
        <w:tc>
          <w:tcPr>
            <w:tcW w:w="1329" w:type="dxa"/>
            <w:tcBorders>
              <w:top w:val="nil"/>
              <w:left w:val="nil"/>
              <w:bottom w:val="single" w:sz="4" w:space="0" w:color="auto"/>
              <w:right w:val="single" w:sz="4" w:space="0" w:color="auto"/>
            </w:tcBorders>
            <w:shd w:val="clear" w:color="000000" w:fill="FFFFFF"/>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2 489,899</w:t>
            </w:r>
          </w:p>
        </w:tc>
      </w:tr>
      <w:tr w:rsidR="00AF75F0" w:rsidRPr="00AF75F0" w:rsidTr="00AF75F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от 150 кВт до 670 кВт</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000000" w:fill="FFFFFF"/>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1 386,708</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1 508,716</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1 453,401</w:t>
            </w:r>
          </w:p>
        </w:tc>
      </w:tr>
      <w:tr w:rsidR="00AF75F0" w:rsidRPr="00AF75F0" w:rsidTr="00AF75F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от 670 кВт до 10 МВт</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не менее 10 МВт</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первое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второе полугодие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1.3.</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сетевым организациям, приобретающим электрическую энергию в целях компенсации потерь электрической энергии в сетях</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 первом полугодии</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во втором полугодии</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2.</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xml:space="preserve">Количество обслуживаемых договоров - всего </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1526"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0,519</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0,517</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0,183</w:t>
            </w:r>
          </w:p>
        </w:tc>
      </w:tr>
      <w:tr w:rsidR="00AF75F0" w:rsidRPr="00AF75F0" w:rsidTr="00AF75F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 том числе: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1526"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2.1.</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 населением и приравненными к нему категориями потребителей</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тыс. штук</w:t>
            </w:r>
          </w:p>
        </w:tc>
        <w:tc>
          <w:tcPr>
            <w:tcW w:w="1526"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0,509</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0,509</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0,173</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2.2.</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тыс. штук</w:t>
            </w:r>
          </w:p>
        </w:tc>
        <w:tc>
          <w:tcPr>
            <w:tcW w:w="1526"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0,01</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0,008</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0,01</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менее 150 кВт</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тыс. штук</w:t>
            </w:r>
          </w:p>
        </w:tc>
        <w:tc>
          <w:tcPr>
            <w:tcW w:w="1526"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0,002</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0,002</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0,002</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от 150 кВт до 670 кВт</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тыс. штук</w:t>
            </w:r>
          </w:p>
        </w:tc>
        <w:tc>
          <w:tcPr>
            <w:tcW w:w="1526"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0,008</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0,006</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0,008</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от 670 кВт до 10 МВт</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тыс. штук</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не менее 10 МВт</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тыс. штук</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2.3.</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 сетевыми организациями, приобретающими электрическую энергию в целях компенсации потерь электрической энергии в сетях</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тыс. штук</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3.</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xml:space="preserve">Количество точек учета по обслуживаемым договорам - всего </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штук</w:t>
            </w:r>
          </w:p>
        </w:tc>
        <w:tc>
          <w:tcPr>
            <w:tcW w:w="1526"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0,659</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0,659</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0,331</w:t>
            </w:r>
          </w:p>
        </w:tc>
      </w:tr>
      <w:tr w:rsidR="00AF75F0" w:rsidRPr="00AF75F0" w:rsidTr="00AF75F0">
        <w:trPr>
          <w:trHeight w:val="28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 том числе:</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3.1.</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по населению и приравненными к нему категориями потребителей</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штук</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0,605</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0,605</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0,282</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3.2.</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штук</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0,054</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0,054</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0,049</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менее 150 кВт</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штук</w:t>
            </w:r>
          </w:p>
        </w:tc>
        <w:tc>
          <w:tcPr>
            <w:tcW w:w="1526"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0,006</w:t>
            </w:r>
          </w:p>
        </w:tc>
        <w:tc>
          <w:tcPr>
            <w:tcW w:w="1297"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0,006</w:t>
            </w:r>
          </w:p>
        </w:tc>
        <w:tc>
          <w:tcPr>
            <w:tcW w:w="1329" w:type="dxa"/>
            <w:tcBorders>
              <w:top w:val="nil"/>
              <w:left w:val="nil"/>
              <w:bottom w:val="single" w:sz="4" w:space="0" w:color="auto"/>
              <w:right w:val="single" w:sz="4" w:space="0" w:color="auto"/>
            </w:tcBorders>
            <w:shd w:val="clear" w:color="000000" w:fill="FFFFFF"/>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0,006</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от 150 кВт до 670 кВт</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штук</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0,048</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0,048</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0,043</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от 670 кВт до 10 МВт</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штук</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2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не менее 10 МВт</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штук</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4.</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Количество точек подключения</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штук</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0,282</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0,282</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0,282</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5.</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Необходимая валовая выручка гарантирующего поставщика</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тыс. рублей</w:t>
            </w:r>
          </w:p>
        </w:tc>
        <w:tc>
          <w:tcPr>
            <w:tcW w:w="1526" w:type="dxa"/>
            <w:tcBorders>
              <w:top w:val="nil"/>
              <w:left w:val="nil"/>
              <w:bottom w:val="single" w:sz="4" w:space="0" w:color="auto"/>
              <w:right w:val="single" w:sz="4" w:space="0" w:color="auto"/>
            </w:tcBorders>
            <w:shd w:val="clear" w:color="auto" w:fill="auto"/>
            <w:noWrap/>
            <w:vAlign w:val="center"/>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108,3</w:t>
            </w:r>
          </w:p>
        </w:tc>
        <w:tc>
          <w:tcPr>
            <w:tcW w:w="1297" w:type="dxa"/>
            <w:tcBorders>
              <w:top w:val="nil"/>
              <w:left w:val="nil"/>
              <w:bottom w:val="single" w:sz="4" w:space="0" w:color="auto"/>
              <w:right w:val="single" w:sz="4" w:space="0" w:color="auto"/>
            </w:tcBorders>
            <w:shd w:val="clear" w:color="auto" w:fill="auto"/>
            <w:noWrap/>
            <w:vAlign w:val="center"/>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125,0</w:t>
            </w:r>
          </w:p>
        </w:tc>
        <w:tc>
          <w:tcPr>
            <w:tcW w:w="1329" w:type="dxa"/>
            <w:tcBorders>
              <w:top w:val="nil"/>
              <w:left w:val="nil"/>
              <w:bottom w:val="single" w:sz="4" w:space="0" w:color="auto"/>
              <w:right w:val="single" w:sz="4" w:space="0" w:color="auto"/>
            </w:tcBorders>
            <w:shd w:val="clear" w:color="auto" w:fill="auto"/>
            <w:noWrap/>
            <w:vAlign w:val="center"/>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130,2</w:t>
            </w:r>
          </w:p>
        </w:tc>
      </w:tr>
      <w:tr w:rsidR="00AF75F0" w:rsidRPr="00AF75F0" w:rsidTr="00AF75F0">
        <w:trPr>
          <w:trHeight w:val="450"/>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lastRenderedPageBreak/>
              <w:t>6.</w:t>
            </w:r>
          </w:p>
        </w:tc>
        <w:tc>
          <w:tcPr>
            <w:tcW w:w="4122" w:type="dxa"/>
            <w:tcBorders>
              <w:top w:val="single" w:sz="4" w:space="0" w:color="auto"/>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Показатели численности персонала и фонда оплаты труда по регулируемым видам деятельности</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single" w:sz="4" w:space="0" w:color="auto"/>
              <w:left w:val="single" w:sz="4" w:space="0" w:color="auto"/>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52"/>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6.1.</w:t>
            </w:r>
          </w:p>
        </w:tc>
        <w:tc>
          <w:tcPr>
            <w:tcW w:w="4122" w:type="dxa"/>
            <w:tcBorders>
              <w:top w:val="single" w:sz="4" w:space="0" w:color="auto"/>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Среднесписочная численность персонала</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человек</w:t>
            </w:r>
          </w:p>
        </w:tc>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50,0</w:t>
            </w:r>
          </w:p>
        </w:tc>
        <w:tc>
          <w:tcPr>
            <w:tcW w:w="1297" w:type="dxa"/>
            <w:tcBorders>
              <w:top w:val="single" w:sz="4" w:space="0" w:color="auto"/>
              <w:left w:val="single" w:sz="4" w:space="0" w:color="auto"/>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49,9</w:t>
            </w:r>
          </w:p>
        </w:tc>
        <w:tc>
          <w:tcPr>
            <w:tcW w:w="1329" w:type="dxa"/>
            <w:tcBorders>
              <w:top w:val="single" w:sz="4" w:space="0" w:color="auto"/>
              <w:left w:val="single" w:sz="4" w:space="0" w:color="auto"/>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50</w:t>
            </w:r>
          </w:p>
        </w:tc>
      </w:tr>
      <w:tr w:rsidR="00AF75F0" w:rsidRPr="00AF75F0" w:rsidTr="00AF75F0">
        <w:trPr>
          <w:trHeight w:val="324"/>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6.2.</w:t>
            </w:r>
          </w:p>
        </w:tc>
        <w:tc>
          <w:tcPr>
            <w:tcW w:w="4122" w:type="dxa"/>
            <w:tcBorders>
              <w:top w:val="single" w:sz="4" w:space="0" w:color="auto"/>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Среднемесячная заработная плата на одного работника</w:t>
            </w:r>
          </w:p>
        </w:tc>
        <w:tc>
          <w:tcPr>
            <w:tcW w:w="846" w:type="dxa"/>
            <w:tcBorders>
              <w:top w:val="single" w:sz="4" w:space="0" w:color="auto"/>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тыс. рублей на человека</w:t>
            </w:r>
          </w:p>
        </w:tc>
        <w:tc>
          <w:tcPr>
            <w:tcW w:w="1526" w:type="dxa"/>
            <w:tcBorders>
              <w:top w:val="single" w:sz="4" w:space="0" w:color="auto"/>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57,9</w:t>
            </w:r>
          </w:p>
        </w:tc>
        <w:tc>
          <w:tcPr>
            <w:tcW w:w="1297" w:type="dxa"/>
            <w:tcBorders>
              <w:top w:val="single" w:sz="4" w:space="0" w:color="auto"/>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60,0</w:t>
            </w:r>
          </w:p>
        </w:tc>
        <w:tc>
          <w:tcPr>
            <w:tcW w:w="1329" w:type="dxa"/>
            <w:tcBorders>
              <w:top w:val="single" w:sz="4" w:space="0" w:color="auto"/>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63</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6.3.</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Реквизиты отраслевого тарифного соглашения (дата утверждения, срок действия)</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5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7.</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Проценты по обслуживанию кредитов</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тыс. рублей</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5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8.</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Резерв по сомнительным долгам</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тыс. рублей</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5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9.</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Необходимые расходы из прибыли</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тыс. рублей</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55"/>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10.</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Чистая прибыль (убыток)</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тыс. рублей</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-3,7</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0,0</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b/>
                <w:bCs/>
                <w:sz w:val="16"/>
                <w:szCs w:val="16"/>
              </w:rPr>
            </w:pPr>
            <w:r w:rsidRPr="00AF75F0">
              <w:rPr>
                <w:rFonts w:ascii="Cambria" w:eastAsia="Times New Roman" w:hAnsi="Cambria"/>
                <w:b/>
                <w:bCs/>
                <w:sz w:val="16"/>
                <w:szCs w:val="16"/>
              </w:rPr>
              <w:t>0,0</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Рентабельность продаж (величина прибыли от продаж в каждом рубле выручки)</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процент</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450"/>
        </w:trPr>
        <w:tc>
          <w:tcPr>
            <w:tcW w:w="713" w:type="dxa"/>
            <w:tcBorders>
              <w:top w:val="nil"/>
              <w:left w:val="single" w:sz="4" w:space="0" w:color="auto"/>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12.</w:t>
            </w:r>
          </w:p>
        </w:tc>
        <w:tc>
          <w:tcPr>
            <w:tcW w:w="4122"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Реквизиты инвестиционной программы (кем утверждена, дата утверждения, номер приказа или решения, электронный адрес размещения)</w:t>
            </w:r>
          </w:p>
        </w:tc>
        <w:tc>
          <w:tcPr>
            <w:tcW w:w="846" w:type="dxa"/>
            <w:tcBorders>
              <w:top w:val="nil"/>
              <w:left w:val="nil"/>
              <w:bottom w:val="single" w:sz="4" w:space="0" w:color="auto"/>
              <w:right w:val="single" w:sz="4" w:space="0" w:color="auto"/>
            </w:tcBorders>
            <w:shd w:val="clear" w:color="auto" w:fill="auto"/>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1526"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297"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329" w:type="dxa"/>
            <w:tcBorders>
              <w:top w:val="nil"/>
              <w:left w:val="nil"/>
              <w:bottom w:val="single" w:sz="4" w:space="0" w:color="auto"/>
              <w:right w:val="single" w:sz="4" w:space="0" w:color="auto"/>
            </w:tcBorders>
            <w:shd w:val="clear" w:color="auto" w:fill="auto"/>
            <w:noWrap/>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bl>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p w:rsidR="00AF75F0" w:rsidRDefault="00AF75F0">
      <w:pPr>
        <w:rPr>
          <w:sz w:val="24"/>
          <w:szCs w:val="24"/>
        </w:rPr>
      </w:pPr>
    </w:p>
    <w:tbl>
      <w:tblPr>
        <w:tblW w:w="9816" w:type="dxa"/>
        <w:tblInd w:w="93" w:type="dxa"/>
        <w:tblLook w:val="04A0" w:firstRow="1" w:lastRow="0" w:firstColumn="1" w:lastColumn="0" w:noHBand="0" w:noVBand="1"/>
      </w:tblPr>
      <w:tblGrid>
        <w:gridCol w:w="548"/>
        <w:gridCol w:w="5035"/>
        <w:gridCol w:w="956"/>
        <w:gridCol w:w="1199"/>
        <w:gridCol w:w="1027"/>
        <w:gridCol w:w="1051"/>
      </w:tblGrid>
      <w:tr w:rsidR="00AF75F0" w:rsidRPr="00AF75F0" w:rsidTr="00AF75F0">
        <w:trPr>
          <w:trHeight w:val="600"/>
        </w:trPr>
        <w:tc>
          <w:tcPr>
            <w:tcW w:w="9816" w:type="dxa"/>
            <w:gridSpan w:val="6"/>
            <w:tcBorders>
              <w:top w:val="nil"/>
              <w:left w:val="nil"/>
              <w:bottom w:val="nil"/>
              <w:right w:val="nil"/>
            </w:tcBorders>
            <w:shd w:val="clear" w:color="auto" w:fill="auto"/>
            <w:vAlign w:val="center"/>
            <w:hideMark/>
          </w:tcPr>
          <w:p w:rsidR="00AF75F0" w:rsidRPr="00AF75F0" w:rsidRDefault="00AF75F0" w:rsidP="00AF75F0">
            <w:pPr>
              <w:autoSpaceDE/>
              <w:autoSpaceDN/>
              <w:jc w:val="right"/>
              <w:rPr>
                <w:rFonts w:ascii="Cambria" w:eastAsia="Times New Roman" w:hAnsi="Cambria"/>
                <w:b/>
                <w:bCs/>
              </w:rPr>
            </w:pPr>
            <w:bookmarkStart w:id="4" w:name="RANGE!A1:F45"/>
            <w:r w:rsidRPr="00AF75F0">
              <w:rPr>
                <w:rFonts w:ascii="Cambria" w:eastAsia="Times New Roman" w:hAnsi="Cambria"/>
                <w:b/>
                <w:bCs/>
              </w:rPr>
              <w:lastRenderedPageBreak/>
              <w:t>Приложение № 4</w:t>
            </w:r>
            <w:r w:rsidRPr="00AF75F0">
              <w:rPr>
                <w:rFonts w:ascii="Cambria" w:eastAsia="Times New Roman" w:hAnsi="Cambria"/>
                <w:b/>
                <w:bCs/>
              </w:rPr>
              <w:br/>
              <w:t>к предложению о размере цен (тарифов), долгосрочных параметров регулирования</w:t>
            </w:r>
            <w:bookmarkEnd w:id="4"/>
          </w:p>
        </w:tc>
      </w:tr>
      <w:tr w:rsidR="00AF75F0" w:rsidRPr="00AF75F0" w:rsidTr="00AF75F0">
        <w:trPr>
          <w:trHeight w:val="300"/>
        </w:trPr>
        <w:tc>
          <w:tcPr>
            <w:tcW w:w="9816" w:type="dxa"/>
            <w:gridSpan w:val="6"/>
            <w:tcBorders>
              <w:top w:val="nil"/>
              <w:left w:val="nil"/>
              <w:bottom w:val="nil"/>
              <w:right w:val="nil"/>
            </w:tcBorders>
            <w:shd w:val="clear" w:color="auto" w:fill="auto"/>
            <w:vAlign w:val="center"/>
            <w:hideMark/>
          </w:tcPr>
          <w:p w:rsidR="00AF75F0" w:rsidRPr="00AF75F0" w:rsidRDefault="00AF75F0" w:rsidP="00AF75F0">
            <w:pPr>
              <w:autoSpaceDE/>
              <w:autoSpaceDN/>
              <w:jc w:val="center"/>
              <w:rPr>
                <w:rFonts w:ascii="Cambria" w:eastAsia="Times New Roman" w:hAnsi="Cambria"/>
                <w:b/>
                <w:bCs/>
                <w:sz w:val="24"/>
                <w:szCs w:val="24"/>
              </w:rPr>
            </w:pPr>
            <w:r w:rsidRPr="00AF75F0">
              <w:rPr>
                <w:rFonts w:ascii="Cambria" w:eastAsia="Times New Roman" w:hAnsi="Cambria"/>
                <w:b/>
                <w:bCs/>
                <w:sz w:val="24"/>
                <w:szCs w:val="24"/>
              </w:rPr>
              <w:t>Раздел 2. Основные показатели деятельности</w:t>
            </w:r>
          </w:p>
        </w:tc>
      </w:tr>
      <w:tr w:rsidR="00AF75F0" w:rsidRPr="00AF75F0" w:rsidTr="00AF75F0">
        <w:trPr>
          <w:trHeight w:val="300"/>
        </w:trPr>
        <w:tc>
          <w:tcPr>
            <w:tcW w:w="9816" w:type="dxa"/>
            <w:gridSpan w:val="6"/>
            <w:tcBorders>
              <w:top w:val="nil"/>
              <w:left w:val="nil"/>
              <w:bottom w:val="nil"/>
              <w:right w:val="nil"/>
            </w:tcBorders>
            <w:shd w:val="clear" w:color="auto" w:fill="auto"/>
            <w:vAlign w:val="center"/>
            <w:hideMark/>
          </w:tcPr>
          <w:p w:rsidR="00AF75F0" w:rsidRPr="00AF75F0" w:rsidRDefault="00AF75F0" w:rsidP="00AF75F0">
            <w:pPr>
              <w:autoSpaceDE/>
              <w:autoSpaceDN/>
              <w:jc w:val="center"/>
              <w:rPr>
                <w:rFonts w:ascii="Cambria" w:eastAsia="Times New Roman" w:hAnsi="Cambria"/>
                <w:b/>
                <w:bCs/>
                <w:sz w:val="24"/>
                <w:szCs w:val="24"/>
              </w:rPr>
            </w:pPr>
            <w:r w:rsidRPr="00AF75F0">
              <w:rPr>
                <w:rFonts w:ascii="Cambria" w:eastAsia="Times New Roman" w:hAnsi="Cambria"/>
                <w:b/>
                <w:bCs/>
                <w:sz w:val="24"/>
                <w:szCs w:val="24"/>
              </w:rPr>
              <w:t>ООО "Сахалинская Газовая Энергетическая компания"</w:t>
            </w:r>
          </w:p>
        </w:tc>
      </w:tr>
      <w:tr w:rsidR="00AF75F0" w:rsidRPr="00AF75F0" w:rsidTr="00AF75F0">
        <w:trPr>
          <w:trHeight w:val="288"/>
        </w:trPr>
        <w:tc>
          <w:tcPr>
            <w:tcW w:w="548" w:type="dxa"/>
            <w:tcBorders>
              <w:top w:val="nil"/>
              <w:left w:val="nil"/>
              <w:bottom w:val="nil"/>
              <w:right w:val="nil"/>
            </w:tcBorders>
            <w:shd w:val="clear" w:color="auto" w:fill="auto"/>
            <w:noWrap/>
            <w:vAlign w:val="bottom"/>
            <w:hideMark/>
          </w:tcPr>
          <w:p w:rsidR="00AF75F0" w:rsidRPr="00AF75F0" w:rsidRDefault="00AF75F0" w:rsidP="00AF75F0">
            <w:pPr>
              <w:autoSpaceDE/>
              <w:autoSpaceDN/>
              <w:rPr>
                <w:rFonts w:ascii="Calibri" w:eastAsia="Times New Roman" w:hAnsi="Calibri"/>
                <w:color w:val="000000"/>
                <w:sz w:val="22"/>
                <w:szCs w:val="22"/>
              </w:rPr>
            </w:pPr>
          </w:p>
        </w:tc>
        <w:tc>
          <w:tcPr>
            <w:tcW w:w="5035" w:type="dxa"/>
            <w:tcBorders>
              <w:top w:val="nil"/>
              <w:left w:val="nil"/>
              <w:bottom w:val="nil"/>
              <w:right w:val="nil"/>
            </w:tcBorders>
            <w:shd w:val="clear" w:color="auto" w:fill="auto"/>
            <w:noWrap/>
            <w:vAlign w:val="bottom"/>
            <w:hideMark/>
          </w:tcPr>
          <w:p w:rsidR="00AF75F0" w:rsidRPr="00AF75F0" w:rsidRDefault="00AF75F0" w:rsidP="00AF75F0">
            <w:pPr>
              <w:autoSpaceDE/>
              <w:autoSpaceDN/>
              <w:rPr>
                <w:rFonts w:ascii="Calibri" w:eastAsia="Times New Roman" w:hAnsi="Calibri"/>
                <w:color w:val="000000"/>
                <w:sz w:val="22"/>
                <w:szCs w:val="22"/>
              </w:rPr>
            </w:pPr>
          </w:p>
        </w:tc>
        <w:tc>
          <w:tcPr>
            <w:tcW w:w="956" w:type="dxa"/>
            <w:tcBorders>
              <w:top w:val="nil"/>
              <w:left w:val="nil"/>
              <w:bottom w:val="nil"/>
              <w:right w:val="nil"/>
            </w:tcBorders>
            <w:shd w:val="clear" w:color="auto" w:fill="auto"/>
            <w:noWrap/>
            <w:vAlign w:val="bottom"/>
            <w:hideMark/>
          </w:tcPr>
          <w:p w:rsidR="00AF75F0" w:rsidRPr="00AF75F0" w:rsidRDefault="00AF75F0" w:rsidP="00AF75F0">
            <w:pPr>
              <w:autoSpaceDE/>
              <w:autoSpaceDN/>
              <w:rPr>
                <w:rFonts w:ascii="Calibri" w:eastAsia="Times New Roman" w:hAnsi="Calibri"/>
                <w:color w:val="000000"/>
                <w:sz w:val="22"/>
                <w:szCs w:val="22"/>
              </w:rPr>
            </w:pPr>
          </w:p>
        </w:tc>
        <w:tc>
          <w:tcPr>
            <w:tcW w:w="1199" w:type="dxa"/>
            <w:tcBorders>
              <w:top w:val="nil"/>
              <w:left w:val="nil"/>
              <w:bottom w:val="nil"/>
              <w:right w:val="nil"/>
            </w:tcBorders>
            <w:shd w:val="clear" w:color="auto" w:fill="auto"/>
            <w:noWrap/>
            <w:vAlign w:val="bottom"/>
            <w:hideMark/>
          </w:tcPr>
          <w:p w:rsidR="00AF75F0" w:rsidRPr="00AF75F0" w:rsidRDefault="00AF75F0" w:rsidP="00AF75F0">
            <w:pPr>
              <w:autoSpaceDE/>
              <w:autoSpaceDN/>
              <w:rPr>
                <w:rFonts w:ascii="Calibri" w:eastAsia="Times New Roman" w:hAnsi="Calibri"/>
                <w:color w:val="000000"/>
                <w:sz w:val="22"/>
                <w:szCs w:val="22"/>
              </w:rPr>
            </w:pPr>
          </w:p>
        </w:tc>
        <w:tc>
          <w:tcPr>
            <w:tcW w:w="1027" w:type="dxa"/>
            <w:tcBorders>
              <w:top w:val="nil"/>
              <w:left w:val="nil"/>
              <w:bottom w:val="nil"/>
              <w:right w:val="nil"/>
            </w:tcBorders>
            <w:shd w:val="clear" w:color="auto" w:fill="auto"/>
            <w:noWrap/>
            <w:vAlign w:val="bottom"/>
            <w:hideMark/>
          </w:tcPr>
          <w:p w:rsidR="00AF75F0" w:rsidRPr="00AF75F0" w:rsidRDefault="00AF75F0" w:rsidP="00AF75F0">
            <w:pPr>
              <w:autoSpaceDE/>
              <w:autoSpaceDN/>
              <w:rPr>
                <w:rFonts w:ascii="Calibri" w:eastAsia="Times New Roman" w:hAnsi="Calibri"/>
                <w:color w:val="000000"/>
                <w:sz w:val="22"/>
                <w:szCs w:val="22"/>
              </w:rPr>
            </w:pPr>
          </w:p>
        </w:tc>
        <w:tc>
          <w:tcPr>
            <w:tcW w:w="1051" w:type="dxa"/>
            <w:tcBorders>
              <w:top w:val="nil"/>
              <w:left w:val="nil"/>
              <w:bottom w:val="nil"/>
              <w:right w:val="nil"/>
            </w:tcBorders>
            <w:shd w:val="clear" w:color="auto" w:fill="auto"/>
            <w:noWrap/>
            <w:vAlign w:val="bottom"/>
            <w:hideMark/>
          </w:tcPr>
          <w:p w:rsidR="00AF75F0" w:rsidRPr="00AF75F0" w:rsidRDefault="00AF75F0" w:rsidP="00AF75F0">
            <w:pPr>
              <w:autoSpaceDE/>
              <w:autoSpaceDN/>
              <w:rPr>
                <w:rFonts w:ascii="Calibri" w:eastAsia="Times New Roman" w:hAnsi="Calibri"/>
                <w:color w:val="000000"/>
                <w:sz w:val="22"/>
                <w:szCs w:val="22"/>
              </w:rPr>
            </w:pPr>
          </w:p>
        </w:tc>
      </w:tr>
      <w:tr w:rsidR="00AF75F0" w:rsidRPr="00AF75F0" w:rsidTr="00AF75F0">
        <w:trPr>
          <w:trHeight w:val="936"/>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sz w:val="12"/>
                <w:szCs w:val="12"/>
              </w:rPr>
            </w:pPr>
            <w:r w:rsidRPr="00AF75F0">
              <w:rPr>
                <w:rFonts w:ascii="Cambria" w:eastAsia="Times New Roman" w:hAnsi="Cambria"/>
                <w:sz w:val="12"/>
                <w:szCs w:val="12"/>
              </w:rPr>
              <w:t xml:space="preserve">№ </w:t>
            </w:r>
            <w:r w:rsidRPr="00AF75F0">
              <w:rPr>
                <w:rFonts w:ascii="Cambria" w:eastAsia="Times New Roman" w:hAnsi="Cambria"/>
                <w:sz w:val="12"/>
                <w:szCs w:val="12"/>
              </w:rPr>
              <w:br/>
            </w:r>
            <w:proofErr w:type="gramStart"/>
            <w:r w:rsidRPr="00AF75F0">
              <w:rPr>
                <w:rFonts w:ascii="Cambria" w:eastAsia="Times New Roman" w:hAnsi="Cambria"/>
                <w:sz w:val="12"/>
                <w:szCs w:val="12"/>
              </w:rPr>
              <w:t>п</w:t>
            </w:r>
            <w:proofErr w:type="gramEnd"/>
            <w:r w:rsidRPr="00AF75F0">
              <w:rPr>
                <w:rFonts w:ascii="Cambria" w:eastAsia="Times New Roman" w:hAnsi="Cambria"/>
                <w:sz w:val="12"/>
                <w:szCs w:val="12"/>
              </w:rPr>
              <w:t>/п</w:t>
            </w:r>
          </w:p>
        </w:tc>
        <w:tc>
          <w:tcPr>
            <w:tcW w:w="5035"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2"/>
                <w:szCs w:val="12"/>
              </w:rPr>
            </w:pPr>
            <w:r w:rsidRPr="00AF75F0">
              <w:rPr>
                <w:rFonts w:ascii="Cambria" w:eastAsia="Times New Roman" w:hAnsi="Cambria"/>
                <w:sz w:val="12"/>
                <w:szCs w:val="12"/>
              </w:rPr>
              <w:t>Наименование показателей</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2"/>
                <w:szCs w:val="12"/>
              </w:rPr>
            </w:pPr>
            <w:r w:rsidRPr="00AF75F0">
              <w:rPr>
                <w:rFonts w:ascii="Cambria" w:eastAsia="Times New Roman" w:hAnsi="Cambria"/>
                <w:sz w:val="12"/>
                <w:szCs w:val="12"/>
              </w:rPr>
              <w:t>Единица измерения</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2"/>
                <w:szCs w:val="12"/>
              </w:rPr>
            </w:pPr>
            <w:r w:rsidRPr="00AF75F0">
              <w:rPr>
                <w:rFonts w:ascii="Cambria" w:eastAsia="Times New Roman" w:hAnsi="Cambria"/>
                <w:sz w:val="12"/>
                <w:szCs w:val="12"/>
              </w:rPr>
              <w:t xml:space="preserve">Фактические показатели </w:t>
            </w:r>
            <w:r w:rsidRPr="00AF75F0">
              <w:rPr>
                <w:rFonts w:ascii="Cambria" w:eastAsia="Times New Roman" w:hAnsi="Cambria"/>
                <w:sz w:val="12"/>
                <w:szCs w:val="12"/>
              </w:rPr>
              <w:br/>
              <w:t>за год, предшествующий базовому периоду</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2"/>
                <w:szCs w:val="12"/>
              </w:rPr>
            </w:pPr>
            <w:r w:rsidRPr="00AF75F0">
              <w:rPr>
                <w:rFonts w:ascii="Cambria" w:eastAsia="Times New Roman" w:hAnsi="Cambria"/>
                <w:sz w:val="12"/>
                <w:szCs w:val="12"/>
              </w:rPr>
              <w:t xml:space="preserve">Показатели, утвержденные </w:t>
            </w:r>
            <w:r w:rsidRPr="00AF75F0">
              <w:rPr>
                <w:rFonts w:ascii="Cambria" w:eastAsia="Times New Roman" w:hAnsi="Cambria"/>
                <w:sz w:val="12"/>
                <w:szCs w:val="12"/>
              </w:rPr>
              <w:br/>
              <w:t>на базовый период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2"/>
                <w:szCs w:val="12"/>
              </w:rPr>
            </w:pPr>
            <w:r w:rsidRPr="00AF75F0">
              <w:rPr>
                <w:rFonts w:ascii="Cambria" w:eastAsia="Times New Roman" w:hAnsi="Cambria"/>
                <w:sz w:val="12"/>
                <w:szCs w:val="12"/>
              </w:rPr>
              <w:t xml:space="preserve">Предложения </w:t>
            </w:r>
            <w:r w:rsidRPr="00AF75F0">
              <w:rPr>
                <w:rFonts w:ascii="Cambria" w:eastAsia="Times New Roman" w:hAnsi="Cambria"/>
                <w:sz w:val="12"/>
                <w:szCs w:val="12"/>
              </w:rPr>
              <w:br/>
              <w:t>на расчетный период регулирования</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Установленная мощность</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МВт</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8,26</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8,26</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8,26</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2.</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МВт</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7,47</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7,41</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7,45</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3.</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Производство электрической энергии</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 xml:space="preserve">млн. </w:t>
            </w:r>
            <w:proofErr w:type="spellStart"/>
            <w:r w:rsidRPr="00AF75F0">
              <w:rPr>
                <w:rFonts w:ascii="Cambria" w:eastAsia="Times New Roman" w:hAnsi="Cambria"/>
                <w:color w:val="000000"/>
                <w:sz w:val="14"/>
                <w:szCs w:val="14"/>
              </w:rPr>
              <w:t>кВт·</w:t>
            </w:r>
            <w:proofErr w:type="gramStart"/>
            <w:r w:rsidRPr="00AF75F0">
              <w:rPr>
                <w:rFonts w:ascii="Cambria" w:eastAsia="Times New Roman" w:hAnsi="Cambria"/>
                <w:color w:val="000000"/>
                <w:sz w:val="14"/>
                <w:szCs w:val="14"/>
              </w:rPr>
              <w:t>ч</w:t>
            </w:r>
            <w:proofErr w:type="spellEnd"/>
            <w:proofErr w:type="gramEnd"/>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16,91</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18,88</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17,63</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4.</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Полезный отпуск электрической энергии</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 xml:space="preserve">млн. </w:t>
            </w:r>
            <w:proofErr w:type="spellStart"/>
            <w:r w:rsidRPr="00AF75F0">
              <w:rPr>
                <w:rFonts w:ascii="Cambria" w:eastAsia="Times New Roman" w:hAnsi="Cambria"/>
                <w:color w:val="000000"/>
                <w:sz w:val="14"/>
                <w:szCs w:val="14"/>
              </w:rPr>
              <w:t>кВт·</w:t>
            </w:r>
            <w:proofErr w:type="gramStart"/>
            <w:r w:rsidRPr="00AF75F0">
              <w:rPr>
                <w:rFonts w:ascii="Cambria" w:eastAsia="Times New Roman" w:hAnsi="Cambria"/>
                <w:color w:val="000000"/>
                <w:sz w:val="14"/>
                <w:szCs w:val="14"/>
              </w:rPr>
              <w:t>ч</w:t>
            </w:r>
            <w:proofErr w:type="spellEnd"/>
            <w:proofErr w:type="gramEnd"/>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13,65</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15,93</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14,73</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5.</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Отпуск тепловой энергии с коллекторов</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тыс. Гкал</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23,06</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23,86</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23,27</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6.</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Отпуск тепловой энергии в сеть</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тыс. Гкал</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23,06</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20,01</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23,27</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7.</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Необходимая валовая выручка - всего</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124,2</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121,3</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130,2</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7.1.</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gramStart"/>
            <w:r w:rsidRPr="00AF75F0">
              <w:rPr>
                <w:rFonts w:ascii="Cambria" w:eastAsia="Times New Roman" w:hAnsi="Cambria"/>
                <w:color w:val="000000"/>
                <w:sz w:val="16"/>
                <w:szCs w:val="16"/>
              </w:rPr>
              <w:t>относимая</w:t>
            </w:r>
            <w:proofErr w:type="gramEnd"/>
            <w:r w:rsidRPr="00AF75F0">
              <w:rPr>
                <w:rFonts w:ascii="Cambria" w:eastAsia="Times New Roman" w:hAnsi="Cambria"/>
                <w:color w:val="000000"/>
                <w:sz w:val="16"/>
                <w:szCs w:val="16"/>
              </w:rPr>
              <w:t xml:space="preserve"> на электрическую энергию</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58,4</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55,6</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61,1</w:t>
            </w:r>
          </w:p>
        </w:tc>
      </w:tr>
      <w:tr w:rsidR="00AF75F0" w:rsidRPr="00AF75F0" w:rsidTr="00AF75F0">
        <w:trPr>
          <w:trHeight w:val="164"/>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7.2.</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gramStart"/>
            <w:r w:rsidRPr="00AF75F0">
              <w:rPr>
                <w:rFonts w:ascii="Cambria" w:eastAsia="Times New Roman" w:hAnsi="Cambria"/>
                <w:color w:val="000000"/>
                <w:sz w:val="16"/>
                <w:szCs w:val="16"/>
              </w:rPr>
              <w:t>относимая на электрическую мощность</w:t>
            </w:r>
            <w:proofErr w:type="gramEnd"/>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504"/>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7.3.</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gramStart"/>
            <w:r w:rsidRPr="00AF75F0">
              <w:rPr>
                <w:rFonts w:ascii="Cambria" w:eastAsia="Times New Roman" w:hAnsi="Cambria"/>
                <w:color w:val="000000"/>
                <w:sz w:val="16"/>
                <w:szCs w:val="16"/>
              </w:rPr>
              <w:t>относимая</w:t>
            </w:r>
            <w:proofErr w:type="gramEnd"/>
            <w:r w:rsidRPr="00AF75F0">
              <w:rPr>
                <w:rFonts w:ascii="Cambria" w:eastAsia="Times New Roman" w:hAnsi="Cambria"/>
                <w:color w:val="000000"/>
                <w:sz w:val="16"/>
                <w:szCs w:val="16"/>
              </w:rPr>
              <w:t xml:space="preserve"> на тепловую </w:t>
            </w:r>
            <w:r w:rsidRPr="00AF75F0">
              <w:rPr>
                <w:rFonts w:ascii="Cambria" w:eastAsia="Times New Roman" w:hAnsi="Cambria"/>
                <w:color w:val="000000"/>
                <w:sz w:val="16"/>
                <w:szCs w:val="16"/>
              </w:rPr>
              <w:br/>
              <w:t>энергию, отпускаемую с коллекторов источников</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65,8</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65,8</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69,1</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8.</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Топливо - всего</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 </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42,9</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34,4</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43,2</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8.1.</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топливо на электрическую энергию</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20,5</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18,6</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19,6</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удельный расход условного топлива на электрическую энергию</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proofErr w:type="gramStart"/>
            <w:r w:rsidRPr="00AF75F0">
              <w:rPr>
                <w:rFonts w:ascii="Cambria" w:eastAsia="Times New Roman" w:hAnsi="Cambria"/>
                <w:color w:val="000000"/>
                <w:sz w:val="14"/>
                <w:szCs w:val="14"/>
              </w:rPr>
              <w:t>г</w:t>
            </w:r>
            <w:proofErr w:type="gramEnd"/>
            <w:r w:rsidRPr="00AF75F0">
              <w:rPr>
                <w:rFonts w:ascii="Cambria" w:eastAsia="Times New Roman" w:hAnsi="Cambria"/>
                <w:color w:val="000000"/>
                <w:sz w:val="14"/>
                <w:szCs w:val="14"/>
              </w:rPr>
              <w:t>/</w:t>
            </w:r>
            <w:proofErr w:type="spellStart"/>
            <w:r w:rsidRPr="00AF75F0">
              <w:rPr>
                <w:rFonts w:ascii="Cambria" w:eastAsia="Times New Roman" w:hAnsi="Cambria"/>
                <w:color w:val="000000"/>
                <w:sz w:val="14"/>
                <w:szCs w:val="14"/>
              </w:rPr>
              <w:t>кВт·ч</w:t>
            </w:r>
            <w:proofErr w:type="spellEnd"/>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262,81</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262,60</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266,76</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8.2.</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топливо на тепловую энергию</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22,4</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15,8</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23,7</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удельный расход условного топлива на тепловую энергию</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proofErr w:type="gramStart"/>
            <w:r w:rsidRPr="00AF75F0">
              <w:rPr>
                <w:rFonts w:ascii="Cambria" w:eastAsia="Times New Roman" w:hAnsi="Cambria"/>
                <w:color w:val="000000"/>
                <w:sz w:val="14"/>
                <w:szCs w:val="14"/>
              </w:rPr>
              <w:t>кг</w:t>
            </w:r>
            <w:proofErr w:type="gramEnd"/>
            <w:r w:rsidRPr="00AF75F0">
              <w:rPr>
                <w:rFonts w:ascii="Cambria" w:eastAsia="Times New Roman" w:hAnsi="Cambria"/>
                <w:color w:val="000000"/>
                <w:sz w:val="14"/>
                <w:szCs w:val="14"/>
              </w:rPr>
              <w:t>/Гкал</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161,61</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153,33</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153,32</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xml:space="preserve">реквизиты решения по </w:t>
            </w:r>
            <w:r w:rsidRPr="00AF75F0">
              <w:rPr>
                <w:rFonts w:ascii="Cambria" w:eastAsia="Times New Roman" w:hAnsi="Cambria"/>
                <w:color w:val="000000"/>
                <w:sz w:val="16"/>
                <w:szCs w:val="16"/>
              </w:rPr>
              <w:br/>
              <w:t>удельному расходу условного топлива на отпуск тепловой и электрической энергии</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 </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9.</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Амортизация</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19,5</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16,6</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19,5</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10.</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Показатели численности персонала и фонда оплаты труда по регулируемым видам деятельности</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 </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10.1.</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среднесписочная численность персонала</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человек</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50</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50</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50</w:t>
            </w:r>
          </w:p>
        </w:tc>
      </w:tr>
      <w:tr w:rsidR="00AF75F0" w:rsidRPr="00AF75F0" w:rsidTr="00AF75F0">
        <w:trPr>
          <w:trHeight w:val="456"/>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10.2.</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xml:space="preserve">среднемесячная заработная </w:t>
            </w:r>
            <w:r w:rsidRPr="00AF75F0">
              <w:rPr>
                <w:rFonts w:ascii="Cambria" w:eastAsia="Times New Roman" w:hAnsi="Cambria"/>
                <w:color w:val="000000"/>
                <w:sz w:val="16"/>
                <w:szCs w:val="16"/>
              </w:rPr>
              <w:br/>
              <w:t>плата на одного работника</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тыс. рублей на человека</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57,9</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60,00</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63</w:t>
            </w:r>
          </w:p>
        </w:tc>
      </w:tr>
      <w:tr w:rsidR="00AF75F0" w:rsidRPr="00AF75F0" w:rsidTr="00AF75F0">
        <w:trPr>
          <w:trHeight w:val="456"/>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10.3.</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реквизиты отраслевого тарифного соглашения (дата утверждения, срок действия)</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 </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6"/>
                <w:szCs w:val="16"/>
              </w:rPr>
            </w:pPr>
            <w:r w:rsidRPr="00AF75F0">
              <w:rPr>
                <w:rFonts w:ascii="Cambria" w:eastAsia="Times New Roman" w:hAnsi="Cambria"/>
                <w:b/>
                <w:bCs/>
                <w:color w:val="000000"/>
                <w:sz w:val="16"/>
                <w:szCs w:val="16"/>
              </w:rPr>
              <w:t>Расходы на производство - всего</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68,0</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67,1</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61,0</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11.1.</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gramStart"/>
            <w:r w:rsidRPr="00AF75F0">
              <w:rPr>
                <w:rFonts w:ascii="Cambria" w:eastAsia="Times New Roman" w:hAnsi="Cambria"/>
                <w:color w:val="000000"/>
                <w:sz w:val="16"/>
                <w:szCs w:val="16"/>
              </w:rPr>
              <w:t>относимые</w:t>
            </w:r>
            <w:proofErr w:type="gramEnd"/>
            <w:r w:rsidRPr="00AF75F0">
              <w:rPr>
                <w:rFonts w:ascii="Cambria" w:eastAsia="Times New Roman" w:hAnsi="Cambria"/>
                <w:color w:val="000000"/>
                <w:sz w:val="16"/>
                <w:szCs w:val="16"/>
              </w:rPr>
              <w:t xml:space="preserve"> на электрическую энергию</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18,4</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25,3</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27,1</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11.2.</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gramStart"/>
            <w:r w:rsidRPr="00AF75F0">
              <w:rPr>
                <w:rFonts w:ascii="Cambria" w:eastAsia="Times New Roman" w:hAnsi="Cambria"/>
                <w:color w:val="000000"/>
                <w:sz w:val="16"/>
                <w:szCs w:val="16"/>
              </w:rPr>
              <w:t>относимые</w:t>
            </w:r>
            <w:proofErr w:type="gramEnd"/>
            <w:r w:rsidRPr="00AF75F0">
              <w:rPr>
                <w:rFonts w:ascii="Cambria" w:eastAsia="Times New Roman" w:hAnsi="Cambria"/>
                <w:color w:val="000000"/>
                <w:sz w:val="16"/>
                <w:szCs w:val="16"/>
              </w:rPr>
              <w:t xml:space="preserve"> на электрическую мощность</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552"/>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11.3.</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gramStart"/>
            <w:r w:rsidRPr="00AF75F0">
              <w:rPr>
                <w:rFonts w:ascii="Cambria" w:eastAsia="Times New Roman" w:hAnsi="Cambria"/>
                <w:color w:val="000000"/>
                <w:sz w:val="16"/>
                <w:szCs w:val="16"/>
              </w:rPr>
              <w:t>относимые</w:t>
            </w:r>
            <w:proofErr w:type="gramEnd"/>
            <w:r w:rsidRPr="00AF75F0">
              <w:rPr>
                <w:rFonts w:ascii="Cambria" w:eastAsia="Times New Roman" w:hAnsi="Cambria"/>
                <w:color w:val="000000"/>
                <w:sz w:val="16"/>
                <w:szCs w:val="16"/>
              </w:rPr>
              <w:t xml:space="preserve"> на тепловую </w:t>
            </w:r>
            <w:r w:rsidRPr="00AF75F0">
              <w:rPr>
                <w:rFonts w:ascii="Cambria" w:eastAsia="Times New Roman" w:hAnsi="Cambria"/>
                <w:color w:val="000000"/>
                <w:sz w:val="16"/>
                <w:szCs w:val="16"/>
              </w:rPr>
              <w:br/>
              <w:t>энергию, отпускаемую с коллекторов источников</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49,6</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41,8</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33,9</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12.</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6"/>
                <w:szCs w:val="16"/>
              </w:rPr>
            </w:pPr>
            <w:r w:rsidRPr="00AF75F0">
              <w:rPr>
                <w:rFonts w:ascii="Cambria" w:eastAsia="Times New Roman" w:hAnsi="Cambria"/>
                <w:b/>
                <w:bCs/>
                <w:color w:val="000000"/>
                <w:sz w:val="16"/>
                <w:szCs w:val="16"/>
              </w:rPr>
              <w:t>Объем перекрестного субсидирования - всего</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 </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12.1.</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от производства тепловой энергии</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12.2.</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от производства электрической энергии</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13.</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6"/>
                <w:szCs w:val="16"/>
              </w:rPr>
            </w:pPr>
            <w:r w:rsidRPr="00AF75F0">
              <w:rPr>
                <w:rFonts w:ascii="Cambria" w:eastAsia="Times New Roman" w:hAnsi="Cambria"/>
                <w:b/>
                <w:bCs/>
                <w:color w:val="000000"/>
                <w:sz w:val="16"/>
                <w:szCs w:val="16"/>
              </w:rPr>
              <w:t>Необходимые расходы из прибыли - всего</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 </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3,2</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3,2</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b/>
                <w:bCs/>
              </w:rPr>
            </w:pPr>
            <w:r w:rsidRPr="00AF75F0">
              <w:rPr>
                <w:rFonts w:ascii="Cambria" w:eastAsia="Times New Roman" w:hAnsi="Cambria"/>
                <w:b/>
                <w:bCs/>
              </w:rPr>
              <w:t>5,6</w:t>
            </w:r>
          </w:p>
        </w:tc>
      </w:tr>
      <w:tr w:rsidR="00AF75F0" w:rsidRPr="00AF75F0" w:rsidTr="00AF75F0">
        <w:trPr>
          <w:trHeight w:val="312"/>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13.1.</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gramStart"/>
            <w:r w:rsidRPr="00AF75F0">
              <w:rPr>
                <w:rFonts w:ascii="Cambria" w:eastAsia="Times New Roman" w:hAnsi="Cambria"/>
                <w:color w:val="000000"/>
                <w:sz w:val="16"/>
                <w:szCs w:val="16"/>
              </w:rPr>
              <w:t>относимые</w:t>
            </w:r>
            <w:proofErr w:type="gramEnd"/>
            <w:r w:rsidRPr="00AF75F0">
              <w:rPr>
                <w:rFonts w:ascii="Cambria" w:eastAsia="Times New Roman" w:hAnsi="Cambria"/>
                <w:color w:val="000000"/>
                <w:sz w:val="16"/>
                <w:szCs w:val="16"/>
              </w:rPr>
              <w:t xml:space="preserve"> на электрическую энергию</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2,0</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1,8</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3,4</w:t>
            </w:r>
          </w:p>
        </w:tc>
      </w:tr>
      <w:tr w:rsidR="00AF75F0" w:rsidRPr="00AF75F0" w:rsidTr="00AF75F0">
        <w:trPr>
          <w:trHeight w:val="312"/>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13.2.</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gramStart"/>
            <w:r w:rsidRPr="00AF75F0">
              <w:rPr>
                <w:rFonts w:ascii="Cambria" w:eastAsia="Times New Roman" w:hAnsi="Cambria"/>
                <w:color w:val="000000"/>
                <w:sz w:val="16"/>
                <w:szCs w:val="16"/>
              </w:rPr>
              <w:t>относимые</w:t>
            </w:r>
            <w:proofErr w:type="gramEnd"/>
            <w:r w:rsidRPr="00AF75F0">
              <w:rPr>
                <w:rFonts w:ascii="Cambria" w:eastAsia="Times New Roman" w:hAnsi="Cambria"/>
                <w:color w:val="000000"/>
                <w:sz w:val="16"/>
                <w:szCs w:val="16"/>
              </w:rPr>
              <w:t xml:space="preserve"> на электрическую мощность</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504"/>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13.3.</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gramStart"/>
            <w:r w:rsidRPr="00AF75F0">
              <w:rPr>
                <w:rFonts w:ascii="Cambria" w:eastAsia="Times New Roman" w:hAnsi="Cambria"/>
                <w:color w:val="000000"/>
                <w:sz w:val="16"/>
                <w:szCs w:val="16"/>
              </w:rPr>
              <w:t>относимые</w:t>
            </w:r>
            <w:proofErr w:type="gramEnd"/>
            <w:r w:rsidRPr="00AF75F0">
              <w:rPr>
                <w:rFonts w:ascii="Cambria" w:eastAsia="Times New Roman" w:hAnsi="Cambria"/>
                <w:color w:val="000000"/>
                <w:sz w:val="16"/>
                <w:szCs w:val="16"/>
              </w:rPr>
              <w:t xml:space="preserve"> на тепловую </w:t>
            </w:r>
            <w:r w:rsidRPr="00AF75F0">
              <w:rPr>
                <w:rFonts w:ascii="Cambria" w:eastAsia="Times New Roman" w:hAnsi="Cambria"/>
                <w:color w:val="000000"/>
                <w:sz w:val="16"/>
                <w:szCs w:val="16"/>
              </w:rPr>
              <w:br/>
              <w:t>энергию, отпускаемую с коллекторов источников</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1,2</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1,4</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2,2</w:t>
            </w:r>
          </w:p>
        </w:tc>
      </w:tr>
      <w:tr w:rsidR="00AF75F0" w:rsidRPr="00AF75F0" w:rsidTr="00AF75F0">
        <w:trPr>
          <w:trHeight w:val="44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14.</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6"/>
                <w:szCs w:val="16"/>
              </w:rPr>
            </w:pPr>
            <w:r w:rsidRPr="00AF75F0">
              <w:rPr>
                <w:rFonts w:ascii="Cambria" w:eastAsia="Times New Roman" w:hAnsi="Cambria"/>
                <w:b/>
                <w:bCs/>
                <w:color w:val="000000"/>
                <w:sz w:val="16"/>
                <w:szCs w:val="16"/>
              </w:rPr>
              <w:t>Капитальные вложения из прибыли (с учетом налога на прибыль) - всего</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 </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52"/>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14.1.</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gramStart"/>
            <w:r w:rsidRPr="00AF75F0">
              <w:rPr>
                <w:rFonts w:ascii="Cambria" w:eastAsia="Times New Roman" w:hAnsi="Cambria"/>
                <w:color w:val="000000"/>
                <w:sz w:val="16"/>
                <w:szCs w:val="16"/>
              </w:rPr>
              <w:t>относимые</w:t>
            </w:r>
            <w:proofErr w:type="gramEnd"/>
            <w:r w:rsidRPr="00AF75F0">
              <w:rPr>
                <w:rFonts w:ascii="Cambria" w:eastAsia="Times New Roman" w:hAnsi="Cambria"/>
                <w:color w:val="000000"/>
                <w:sz w:val="16"/>
                <w:szCs w:val="16"/>
              </w:rPr>
              <w:t xml:space="preserve"> на электрическую энергию</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252"/>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14.2.</w:t>
            </w:r>
          </w:p>
        </w:tc>
        <w:tc>
          <w:tcPr>
            <w:tcW w:w="5035"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gramStart"/>
            <w:r w:rsidRPr="00AF75F0">
              <w:rPr>
                <w:rFonts w:ascii="Cambria" w:eastAsia="Times New Roman" w:hAnsi="Cambria"/>
                <w:color w:val="000000"/>
                <w:sz w:val="16"/>
                <w:szCs w:val="16"/>
              </w:rPr>
              <w:t>относимые</w:t>
            </w:r>
            <w:proofErr w:type="gramEnd"/>
            <w:r w:rsidRPr="00AF75F0">
              <w:rPr>
                <w:rFonts w:ascii="Cambria" w:eastAsia="Times New Roman" w:hAnsi="Cambria"/>
                <w:color w:val="000000"/>
                <w:sz w:val="16"/>
                <w:szCs w:val="16"/>
              </w:rPr>
              <w:t xml:space="preserve"> на электрическую мощность</w:t>
            </w:r>
          </w:p>
        </w:tc>
        <w:tc>
          <w:tcPr>
            <w:tcW w:w="956"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nil"/>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5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14.3.</w:t>
            </w: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gramStart"/>
            <w:r w:rsidRPr="00AF75F0">
              <w:rPr>
                <w:rFonts w:ascii="Cambria" w:eastAsia="Times New Roman" w:hAnsi="Cambria"/>
                <w:color w:val="000000"/>
                <w:sz w:val="16"/>
                <w:szCs w:val="16"/>
              </w:rPr>
              <w:t>относимые</w:t>
            </w:r>
            <w:proofErr w:type="gramEnd"/>
            <w:r w:rsidRPr="00AF75F0">
              <w:rPr>
                <w:rFonts w:ascii="Cambria" w:eastAsia="Times New Roman" w:hAnsi="Cambria"/>
                <w:color w:val="000000"/>
                <w:sz w:val="16"/>
                <w:szCs w:val="16"/>
              </w:rPr>
              <w:t xml:space="preserve"> на тепловую </w:t>
            </w:r>
            <w:r w:rsidRPr="00AF75F0">
              <w:rPr>
                <w:rFonts w:ascii="Cambria" w:eastAsia="Times New Roman" w:hAnsi="Cambria"/>
                <w:color w:val="000000"/>
                <w:sz w:val="16"/>
                <w:szCs w:val="16"/>
              </w:rPr>
              <w:br/>
              <w:t>энергию, отпускаемую с коллекторов источников</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46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lastRenderedPageBreak/>
              <w:t>15.</w:t>
            </w: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6"/>
                <w:szCs w:val="16"/>
              </w:rPr>
            </w:pPr>
            <w:r w:rsidRPr="00AF75F0">
              <w:rPr>
                <w:rFonts w:ascii="Cambria" w:eastAsia="Times New Roman" w:hAnsi="Cambria"/>
                <w:b/>
                <w:bCs/>
                <w:color w:val="000000"/>
                <w:sz w:val="16"/>
                <w:szCs w:val="16"/>
              </w:rPr>
              <w:t>Чистая прибыль (убыток)</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млн. рублей</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-6,22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0,000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1,880</w:t>
            </w:r>
          </w:p>
        </w:tc>
      </w:tr>
      <w:tr w:rsidR="00AF75F0" w:rsidRPr="00AF75F0" w:rsidTr="00AF75F0">
        <w:trPr>
          <w:trHeight w:val="46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16.</w:t>
            </w: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6"/>
                <w:szCs w:val="16"/>
              </w:rPr>
            </w:pPr>
            <w:r w:rsidRPr="00AF75F0">
              <w:rPr>
                <w:rFonts w:ascii="Cambria" w:eastAsia="Times New Roman" w:hAnsi="Cambria"/>
                <w:b/>
                <w:bCs/>
                <w:color w:val="000000"/>
                <w:sz w:val="16"/>
                <w:szCs w:val="16"/>
              </w:rPr>
              <w:t xml:space="preserve">Рентабельность продаж (величина прибыли от продажи </w:t>
            </w:r>
            <w:r w:rsidRPr="00AF75F0">
              <w:rPr>
                <w:rFonts w:ascii="Cambria" w:eastAsia="Times New Roman" w:hAnsi="Cambria"/>
                <w:b/>
                <w:bCs/>
                <w:color w:val="000000"/>
                <w:sz w:val="16"/>
                <w:szCs w:val="16"/>
              </w:rPr>
              <w:br/>
              <w:t>в каждом рубле выручки)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процент</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r w:rsidR="00AF75F0" w:rsidRPr="00AF75F0" w:rsidTr="00AF75F0">
        <w:trPr>
          <w:trHeight w:val="46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17.</w:t>
            </w: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6"/>
                <w:szCs w:val="16"/>
              </w:rPr>
            </w:pPr>
            <w:r w:rsidRPr="00AF75F0">
              <w:rPr>
                <w:rFonts w:ascii="Cambria" w:eastAsia="Times New Roman" w:hAnsi="Cambria"/>
                <w:b/>
                <w:bCs/>
                <w:color w:val="000000"/>
                <w:sz w:val="16"/>
                <w:szCs w:val="16"/>
              </w:rPr>
              <w:t xml:space="preserve">Реквизиты инвестиционной программы (кем утверждена, </w:t>
            </w:r>
            <w:r w:rsidRPr="00AF75F0">
              <w:rPr>
                <w:rFonts w:ascii="Cambria" w:eastAsia="Times New Roman" w:hAnsi="Cambria"/>
                <w:b/>
                <w:bCs/>
                <w:color w:val="000000"/>
                <w:sz w:val="16"/>
                <w:szCs w:val="16"/>
              </w:rPr>
              <w:br w:type="page"/>
              <w:t xml:space="preserve">дата утверждения, номер </w:t>
            </w:r>
            <w:r w:rsidRPr="00AF75F0">
              <w:rPr>
                <w:rFonts w:ascii="Cambria" w:eastAsia="Times New Roman" w:hAnsi="Cambria"/>
                <w:b/>
                <w:bCs/>
                <w:color w:val="000000"/>
                <w:sz w:val="16"/>
                <w:szCs w:val="16"/>
              </w:rPr>
              <w:br w:type="page"/>
              <w:t>приказа или решения, электронный адрес размещения)</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4"/>
                <w:szCs w:val="14"/>
              </w:rPr>
            </w:pPr>
            <w:r w:rsidRPr="00AF75F0">
              <w:rPr>
                <w:rFonts w:ascii="Cambria" w:eastAsia="Times New Roman" w:hAnsi="Cambria"/>
                <w:color w:val="000000"/>
                <w:sz w:val="14"/>
                <w:szCs w:val="14"/>
              </w:rPr>
              <w:t>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sz w:val="16"/>
                <w:szCs w:val="16"/>
              </w:rPr>
            </w:pPr>
            <w:r w:rsidRPr="00AF75F0">
              <w:rPr>
                <w:rFonts w:ascii="Cambria" w:eastAsia="Times New Roman" w:hAnsi="Cambria"/>
                <w:sz w:val="16"/>
                <w:szCs w:val="16"/>
              </w:rPr>
              <w:t> </w:t>
            </w:r>
          </w:p>
        </w:tc>
      </w:tr>
    </w:tbl>
    <w:p w:rsidR="00AF75F0" w:rsidRDefault="00AF75F0">
      <w:pPr>
        <w:rPr>
          <w:sz w:val="24"/>
          <w:szCs w:val="24"/>
        </w:rPr>
      </w:pPr>
    </w:p>
    <w:p w:rsidR="00AF75F0" w:rsidRDefault="00AF75F0">
      <w:pPr>
        <w:rPr>
          <w:sz w:val="24"/>
          <w:szCs w:val="24"/>
        </w:rPr>
      </w:pPr>
    </w:p>
    <w:p w:rsidR="00AF75F0" w:rsidRDefault="00AF75F0">
      <w:pPr>
        <w:rPr>
          <w:sz w:val="24"/>
          <w:szCs w:val="24"/>
        </w:rPr>
      </w:pPr>
    </w:p>
    <w:tbl>
      <w:tblPr>
        <w:tblW w:w="9635" w:type="dxa"/>
        <w:tblInd w:w="93" w:type="dxa"/>
        <w:tblLook w:val="04A0" w:firstRow="1" w:lastRow="0" w:firstColumn="1" w:lastColumn="0" w:noHBand="0" w:noVBand="1"/>
      </w:tblPr>
      <w:tblGrid>
        <w:gridCol w:w="581"/>
        <w:gridCol w:w="3120"/>
        <w:gridCol w:w="960"/>
        <w:gridCol w:w="829"/>
        <w:gridCol w:w="829"/>
        <w:gridCol w:w="829"/>
        <w:gridCol w:w="829"/>
        <w:gridCol w:w="829"/>
        <w:gridCol w:w="829"/>
      </w:tblGrid>
      <w:tr w:rsidR="00AF75F0" w:rsidRPr="00AF75F0" w:rsidTr="00AF75F0">
        <w:trPr>
          <w:trHeight w:val="492"/>
        </w:trPr>
        <w:tc>
          <w:tcPr>
            <w:tcW w:w="9635" w:type="dxa"/>
            <w:gridSpan w:val="9"/>
            <w:tcBorders>
              <w:top w:val="nil"/>
              <w:left w:val="nil"/>
              <w:bottom w:val="nil"/>
              <w:right w:val="nil"/>
            </w:tcBorders>
            <w:shd w:val="clear" w:color="auto" w:fill="auto"/>
            <w:vAlign w:val="center"/>
            <w:hideMark/>
          </w:tcPr>
          <w:p w:rsidR="00AF75F0" w:rsidRDefault="00AF75F0" w:rsidP="00AF75F0">
            <w:pPr>
              <w:autoSpaceDE/>
              <w:autoSpaceDN/>
              <w:jc w:val="right"/>
              <w:rPr>
                <w:rFonts w:ascii="Cambria" w:eastAsia="Times New Roman" w:hAnsi="Cambria"/>
                <w:b/>
                <w:bCs/>
              </w:rPr>
            </w:pPr>
            <w:bookmarkStart w:id="5" w:name="RANGE!A1:I43"/>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Default="00AF75F0" w:rsidP="00AF75F0">
            <w:pPr>
              <w:autoSpaceDE/>
              <w:autoSpaceDN/>
              <w:jc w:val="right"/>
              <w:rPr>
                <w:rFonts w:ascii="Cambria" w:eastAsia="Times New Roman" w:hAnsi="Cambria"/>
                <w:b/>
                <w:bCs/>
              </w:rPr>
            </w:pPr>
          </w:p>
          <w:p w:rsidR="00AF75F0" w:rsidRPr="00AF75F0" w:rsidRDefault="00AF75F0" w:rsidP="00AF75F0">
            <w:pPr>
              <w:autoSpaceDE/>
              <w:autoSpaceDN/>
              <w:jc w:val="right"/>
              <w:rPr>
                <w:rFonts w:ascii="Cambria" w:eastAsia="Times New Roman" w:hAnsi="Cambria"/>
                <w:b/>
                <w:bCs/>
              </w:rPr>
            </w:pPr>
            <w:r w:rsidRPr="00AF75F0">
              <w:rPr>
                <w:rFonts w:ascii="Cambria" w:eastAsia="Times New Roman" w:hAnsi="Cambria"/>
                <w:b/>
                <w:bCs/>
              </w:rPr>
              <w:lastRenderedPageBreak/>
              <w:t>Приложение № 5</w:t>
            </w:r>
            <w:r w:rsidRPr="00AF75F0">
              <w:rPr>
                <w:rFonts w:ascii="Cambria" w:eastAsia="Times New Roman" w:hAnsi="Cambria"/>
                <w:b/>
                <w:bCs/>
              </w:rPr>
              <w:br/>
              <w:t>к предложению о размере цен (тарифов), долгосрочных параметров регулирования</w:t>
            </w:r>
            <w:bookmarkEnd w:id="5"/>
          </w:p>
        </w:tc>
      </w:tr>
      <w:tr w:rsidR="00AF75F0" w:rsidRPr="00AF75F0" w:rsidTr="00AF75F0">
        <w:trPr>
          <w:trHeight w:val="492"/>
        </w:trPr>
        <w:tc>
          <w:tcPr>
            <w:tcW w:w="9635" w:type="dxa"/>
            <w:gridSpan w:val="9"/>
            <w:tcBorders>
              <w:top w:val="nil"/>
              <w:left w:val="nil"/>
              <w:bottom w:val="nil"/>
              <w:right w:val="nil"/>
            </w:tcBorders>
            <w:shd w:val="clear" w:color="auto" w:fill="auto"/>
            <w:vAlign w:val="center"/>
            <w:hideMark/>
          </w:tcPr>
          <w:p w:rsidR="00AF75F0" w:rsidRPr="00AF75F0" w:rsidRDefault="00AF75F0" w:rsidP="00AF75F0">
            <w:pPr>
              <w:autoSpaceDE/>
              <w:autoSpaceDN/>
              <w:jc w:val="center"/>
              <w:rPr>
                <w:rFonts w:ascii="Cambria" w:eastAsia="Times New Roman" w:hAnsi="Cambria"/>
                <w:b/>
                <w:bCs/>
                <w:sz w:val="24"/>
                <w:szCs w:val="24"/>
              </w:rPr>
            </w:pPr>
            <w:r w:rsidRPr="00AF75F0">
              <w:rPr>
                <w:rFonts w:ascii="Cambria" w:eastAsia="Times New Roman" w:hAnsi="Cambria"/>
                <w:b/>
                <w:bCs/>
                <w:sz w:val="24"/>
                <w:szCs w:val="24"/>
              </w:rPr>
              <w:lastRenderedPageBreak/>
              <w:t>Раздел 3. Цены (тарифы) по регулируемым видам деятельности организации</w:t>
            </w:r>
          </w:p>
        </w:tc>
      </w:tr>
      <w:tr w:rsidR="00AF75F0" w:rsidRPr="00AF75F0" w:rsidTr="00AF75F0">
        <w:trPr>
          <w:trHeight w:val="420"/>
        </w:trPr>
        <w:tc>
          <w:tcPr>
            <w:tcW w:w="9635" w:type="dxa"/>
            <w:gridSpan w:val="9"/>
            <w:tcBorders>
              <w:top w:val="nil"/>
              <w:left w:val="nil"/>
              <w:bottom w:val="single" w:sz="4" w:space="0" w:color="auto"/>
              <w:right w:val="nil"/>
            </w:tcBorders>
            <w:shd w:val="clear" w:color="auto" w:fill="auto"/>
            <w:vAlign w:val="center"/>
            <w:hideMark/>
          </w:tcPr>
          <w:p w:rsidR="00AF75F0" w:rsidRPr="00AF75F0" w:rsidRDefault="00AF75F0" w:rsidP="00AF75F0">
            <w:pPr>
              <w:autoSpaceDE/>
              <w:autoSpaceDN/>
              <w:jc w:val="center"/>
              <w:rPr>
                <w:rFonts w:ascii="Cambria" w:eastAsia="Times New Roman" w:hAnsi="Cambria"/>
                <w:b/>
                <w:bCs/>
                <w:sz w:val="24"/>
                <w:szCs w:val="24"/>
              </w:rPr>
            </w:pPr>
            <w:r w:rsidRPr="00AF75F0">
              <w:rPr>
                <w:rFonts w:ascii="Cambria" w:eastAsia="Times New Roman" w:hAnsi="Cambria"/>
                <w:b/>
                <w:bCs/>
                <w:sz w:val="24"/>
                <w:szCs w:val="24"/>
              </w:rPr>
              <w:t>ООО "Сахалинская Газовая Энергетическая компания"</w:t>
            </w:r>
          </w:p>
        </w:tc>
      </w:tr>
      <w:tr w:rsidR="00AF75F0" w:rsidRPr="00AF75F0" w:rsidTr="00AF75F0">
        <w:trPr>
          <w:trHeight w:val="48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2"/>
                <w:szCs w:val="12"/>
              </w:rPr>
            </w:pPr>
            <w:r w:rsidRPr="00AF75F0">
              <w:rPr>
                <w:rFonts w:ascii="Cambria" w:eastAsia="Times New Roman" w:hAnsi="Cambria"/>
                <w:color w:val="000000"/>
                <w:sz w:val="12"/>
                <w:szCs w:val="12"/>
              </w:rPr>
              <w:t xml:space="preserve">№ </w:t>
            </w:r>
            <w:r w:rsidRPr="00AF75F0">
              <w:rPr>
                <w:rFonts w:ascii="Cambria" w:eastAsia="Times New Roman" w:hAnsi="Cambria"/>
                <w:color w:val="000000"/>
                <w:sz w:val="12"/>
                <w:szCs w:val="12"/>
              </w:rPr>
              <w:br/>
            </w:r>
            <w:proofErr w:type="gramStart"/>
            <w:r w:rsidRPr="00AF75F0">
              <w:rPr>
                <w:rFonts w:ascii="Cambria" w:eastAsia="Times New Roman" w:hAnsi="Cambria"/>
                <w:color w:val="000000"/>
                <w:sz w:val="12"/>
                <w:szCs w:val="12"/>
              </w:rPr>
              <w:t>п</w:t>
            </w:r>
            <w:proofErr w:type="gramEnd"/>
            <w:r w:rsidRPr="00AF75F0">
              <w:rPr>
                <w:rFonts w:ascii="Cambria" w:eastAsia="Times New Roman" w:hAnsi="Cambria"/>
                <w:color w:val="000000"/>
                <w:sz w:val="12"/>
                <w:szCs w:val="12"/>
              </w:rPr>
              <w:t>/п</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Наименование показателей</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Единица изменения</w:t>
            </w:r>
          </w:p>
        </w:tc>
        <w:tc>
          <w:tcPr>
            <w:tcW w:w="1658" w:type="dxa"/>
            <w:gridSpan w:val="2"/>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Фактические показатели за год, предшествующий базовому периоду</w:t>
            </w:r>
          </w:p>
        </w:tc>
        <w:tc>
          <w:tcPr>
            <w:tcW w:w="1658" w:type="dxa"/>
            <w:gridSpan w:val="2"/>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Показатели, утвержденные на базовый период *</w:t>
            </w:r>
          </w:p>
        </w:tc>
        <w:tc>
          <w:tcPr>
            <w:tcW w:w="1658" w:type="dxa"/>
            <w:gridSpan w:val="2"/>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Предложения на расчетный период регулирования</w:t>
            </w:r>
          </w:p>
        </w:tc>
      </w:tr>
      <w:tr w:rsidR="00AF75F0" w:rsidRPr="00AF75F0" w:rsidTr="00AF75F0">
        <w:trPr>
          <w:trHeight w:val="31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AF75F0" w:rsidRPr="00AF75F0" w:rsidRDefault="00AF75F0" w:rsidP="00AF75F0">
            <w:pPr>
              <w:autoSpaceDE/>
              <w:autoSpaceDN/>
              <w:rPr>
                <w:rFonts w:ascii="Cambria" w:eastAsia="Times New Roman" w:hAnsi="Cambria"/>
                <w:color w:val="000000"/>
                <w:sz w:val="12"/>
                <w:szCs w:val="12"/>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AF75F0" w:rsidRPr="00AF75F0" w:rsidRDefault="00AF75F0" w:rsidP="00AF75F0">
            <w:pPr>
              <w:autoSpaceDE/>
              <w:autoSpaceDN/>
              <w:rPr>
                <w:rFonts w:ascii="Cambria" w:eastAsia="Times New Roman" w:hAnsi="Cambria"/>
                <w:color w:val="000000"/>
                <w:sz w:val="12"/>
                <w:szCs w:val="1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F75F0" w:rsidRPr="00AF75F0" w:rsidRDefault="00AF75F0" w:rsidP="00AF75F0">
            <w:pPr>
              <w:autoSpaceDE/>
              <w:autoSpaceDN/>
              <w:rPr>
                <w:rFonts w:ascii="Cambria" w:eastAsia="Times New Roman" w:hAnsi="Cambria"/>
                <w:color w:val="000000"/>
                <w:sz w:val="12"/>
                <w:szCs w:val="12"/>
              </w:rPr>
            </w:pP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1-е </w:t>
            </w:r>
            <w:proofErr w:type="gramStart"/>
            <w:r w:rsidRPr="00AF75F0">
              <w:rPr>
                <w:rFonts w:ascii="Cambria" w:eastAsia="Times New Roman" w:hAnsi="Cambria"/>
                <w:color w:val="000000"/>
                <w:sz w:val="12"/>
                <w:szCs w:val="12"/>
              </w:rPr>
              <w:t>полу-</w:t>
            </w:r>
            <w:proofErr w:type="spellStart"/>
            <w:r w:rsidRPr="00AF75F0">
              <w:rPr>
                <w:rFonts w:ascii="Cambria" w:eastAsia="Times New Roman" w:hAnsi="Cambria"/>
                <w:color w:val="000000"/>
                <w:sz w:val="12"/>
                <w:szCs w:val="12"/>
              </w:rPr>
              <w:t>годие</w:t>
            </w:r>
            <w:proofErr w:type="spellEnd"/>
            <w:proofErr w:type="gramEnd"/>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2-е </w:t>
            </w:r>
            <w:proofErr w:type="gramStart"/>
            <w:r w:rsidRPr="00AF75F0">
              <w:rPr>
                <w:rFonts w:ascii="Cambria" w:eastAsia="Times New Roman" w:hAnsi="Cambria"/>
                <w:color w:val="000000"/>
                <w:sz w:val="12"/>
                <w:szCs w:val="12"/>
              </w:rPr>
              <w:t>полу-</w:t>
            </w:r>
            <w:proofErr w:type="spellStart"/>
            <w:r w:rsidRPr="00AF75F0">
              <w:rPr>
                <w:rFonts w:ascii="Cambria" w:eastAsia="Times New Roman" w:hAnsi="Cambria"/>
                <w:color w:val="000000"/>
                <w:sz w:val="12"/>
                <w:szCs w:val="12"/>
              </w:rPr>
              <w:t>годие</w:t>
            </w:r>
            <w:proofErr w:type="spellEnd"/>
            <w:proofErr w:type="gramEnd"/>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1-е </w:t>
            </w:r>
            <w:proofErr w:type="gramStart"/>
            <w:r w:rsidRPr="00AF75F0">
              <w:rPr>
                <w:rFonts w:ascii="Cambria" w:eastAsia="Times New Roman" w:hAnsi="Cambria"/>
                <w:color w:val="000000"/>
                <w:sz w:val="12"/>
                <w:szCs w:val="12"/>
              </w:rPr>
              <w:t>полу-</w:t>
            </w:r>
            <w:proofErr w:type="spellStart"/>
            <w:r w:rsidRPr="00AF75F0">
              <w:rPr>
                <w:rFonts w:ascii="Cambria" w:eastAsia="Times New Roman" w:hAnsi="Cambria"/>
                <w:color w:val="000000"/>
                <w:sz w:val="12"/>
                <w:szCs w:val="12"/>
              </w:rPr>
              <w:t>годие</w:t>
            </w:r>
            <w:proofErr w:type="spellEnd"/>
            <w:proofErr w:type="gramEnd"/>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2-е </w:t>
            </w:r>
            <w:proofErr w:type="gramStart"/>
            <w:r w:rsidRPr="00AF75F0">
              <w:rPr>
                <w:rFonts w:ascii="Cambria" w:eastAsia="Times New Roman" w:hAnsi="Cambria"/>
                <w:color w:val="000000"/>
                <w:sz w:val="12"/>
                <w:szCs w:val="12"/>
              </w:rPr>
              <w:t>полу-</w:t>
            </w:r>
            <w:proofErr w:type="spellStart"/>
            <w:r w:rsidRPr="00AF75F0">
              <w:rPr>
                <w:rFonts w:ascii="Cambria" w:eastAsia="Times New Roman" w:hAnsi="Cambria"/>
                <w:color w:val="000000"/>
                <w:sz w:val="12"/>
                <w:szCs w:val="12"/>
              </w:rPr>
              <w:t>годие</w:t>
            </w:r>
            <w:proofErr w:type="spellEnd"/>
            <w:proofErr w:type="gramEnd"/>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1-е </w:t>
            </w:r>
            <w:proofErr w:type="gramStart"/>
            <w:r w:rsidRPr="00AF75F0">
              <w:rPr>
                <w:rFonts w:ascii="Cambria" w:eastAsia="Times New Roman" w:hAnsi="Cambria"/>
                <w:color w:val="000000"/>
                <w:sz w:val="12"/>
                <w:szCs w:val="12"/>
              </w:rPr>
              <w:t>полу-</w:t>
            </w:r>
            <w:proofErr w:type="spellStart"/>
            <w:r w:rsidRPr="00AF75F0">
              <w:rPr>
                <w:rFonts w:ascii="Cambria" w:eastAsia="Times New Roman" w:hAnsi="Cambria"/>
                <w:color w:val="000000"/>
                <w:sz w:val="12"/>
                <w:szCs w:val="12"/>
              </w:rPr>
              <w:t>годие</w:t>
            </w:r>
            <w:proofErr w:type="spellEnd"/>
            <w:proofErr w:type="gramEnd"/>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2-е </w:t>
            </w:r>
            <w:proofErr w:type="gramStart"/>
            <w:r w:rsidRPr="00AF75F0">
              <w:rPr>
                <w:rFonts w:ascii="Cambria" w:eastAsia="Times New Roman" w:hAnsi="Cambria"/>
                <w:color w:val="000000"/>
                <w:sz w:val="12"/>
                <w:szCs w:val="12"/>
              </w:rPr>
              <w:t>полу-</w:t>
            </w:r>
            <w:proofErr w:type="spellStart"/>
            <w:r w:rsidRPr="00AF75F0">
              <w:rPr>
                <w:rFonts w:ascii="Cambria" w:eastAsia="Times New Roman" w:hAnsi="Cambria"/>
                <w:color w:val="000000"/>
                <w:sz w:val="12"/>
                <w:szCs w:val="12"/>
              </w:rPr>
              <w:t>годие</w:t>
            </w:r>
            <w:proofErr w:type="spellEnd"/>
            <w:proofErr w:type="gramEnd"/>
          </w:p>
        </w:tc>
      </w:tr>
      <w:tr w:rsidR="00AF75F0" w:rsidRPr="00AF75F0" w:rsidTr="00AF75F0">
        <w:trPr>
          <w:trHeight w:val="78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Для организаций, относящихся к субъектам естественных монополий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r>
      <w:tr w:rsidR="00AF75F0" w:rsidRPr="00AF75F0" w:rsidTr="00AF75F0">
        <w:trPr>
          <w:trHeight w:val="588"/>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1.1.</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на услуги по оперативно-диспетчерскому управлению в электроэнергетике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275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AF75F0">
              <w:rPr>
                <w:rFonts w:ascii="Cambria" w:eastAsia="Times New Roman" w:hAnsi="Cambria"/>
                <w:color w:val="000000"/>
                <w:sz w:val="16"/>
                <w:szCs w:val="16"/>
              </w:rPr>
              <w:t>энергопринимающих</w:t>
            </w:r>
            <w:proofErr w:type="spellEnd"/>
            <w:r w:rsidRPr="00AF75F0">
              <w:rPr>
                <w:rFonts w:ascii="Cambria" w:eastAsia="Times New Roman" w:hAnsi="Cambria"/>
                <w:color w:val="000000"/>
                <w:sz w:val="16"/>
                <w:szCs w:val="16"/>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руб./МВт в мес.</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2761"/>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w:t>
            </w:r>
            <w:proofErr w:type="spellStart"/>
            <w:r w:rsidRPr="00AF75F0">
              <w:rPr>
                <w:rFonts w:ascii="Cambria" w:eastAsia="Times New Roman" w:hAnsi="Cambria"/>
                <w:color w:val="000000"/>
                <w:sz w:val="12"/>
                <w:szCs w:val="12"/>
              </w:rPr>
              <w:t>МВт·</w:t>
            </w:r>
            <w:proofErr w:type="gramStart"/>
            <w:r w:rsidRPr="00AF75F0">
              <w:rPr>
                <w:rFonts w:ascii="Cambria" w:eastAsia="Times New Roman" w:hAnsi="Cambria"/>
                <w:color w:val="000000"/>
                <w:sz w:val="12"/>
                <w:szCs w:val="12"/>
              </w:rPr>
              <w:t>ч</w:t>
            </w:r>
            <w:proofErr w:type="spellEnd"/>
            <w:proofErr w:type="gramEnd"/>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583"/>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1.2.</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xml:space="preserve">услуги по передаче электрической энергии (мощности)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456"/>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spellStart"/>
            <w:r w:rsidRPr="00AF75F0">
              <w:rPr>
                <w:rFonts w:ascii="Cambria" w:eastAsia="Times New Roman" w:hAnsi="Cambria"/>
                <w:color w:val="000000"/>
                <w:sz w:val="16"/>
                <w:szCs w:val="16"/>
              </w:rPr>
              <w:t>двухставочный</w:t>
            </w:r>
            <w:proofErr w:type="spellEnd"/>
            <w:r w:rsidRPr="00AF75F0">
              <w:rPr>
                <w:rFonts w:ascii="Cambria" w:eastAsia="Times New Roman" w:hAnsi="Cambria"/>
                <w:color w:val="000000"/>
                <w:sz w:val="16"/>
                <w:szCs w:val="16"/>
              </w:rPr>
              <w:t xml:space="preserve"> тариф</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288"/>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ставка на содержание сетей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руб./МВт в мес.</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396"/>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ставка на оплату технологического расхода (потерь)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w:t>
            </w:r>
            <w:proofErr w:type="spellStart"/>
            <w:r w:rsidRPr="00AF75F0">
              <w:rPr>
                <w:rFonts w:ascii="Cambria" w:eastAsia="Times New Roman" w:hAnsi="Cambria"/>
                <w:color w:val="000000"/>
                <w:sz w:val="12"/>
                <w:szCs w:val="12"/>
              </w:rPr>
              <w:t>МВт·</w:t>
            </w:r>
            <w:proofErr w:type="gramStart"/>
            <w:r w:rsidRPr="00AF75F0">
              <w:rPr>
                <w:rFonts w:ascii="Cambria" w:eastAsia="Times New Roman" w:hAnsi="Cambria"/>
                <w:color w:val="000000"/>
                <w:sz w:val="12"/>
                <w:szCs w:val="12"/>
              </w:rPr>
              <w:t>ч</w:t>
            </w:r>
            <w:proofErr w:type="spellEnd"/>
            <w:proofErr w:type="gramEnd"/>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spellStart"/>
            <w:r w:rsidRPr="00AF75F0">
              <w:rPr>
                <w:rFonts w:ascii="Cambria" w:eastAsia="Times New Roman" w:hAnsi="Cambria"/>
                <w:color w:val="000000"/>
                <w:sz w:val="16"/>
                <w:szCs w:val="16"/>
              </w:rPr>
              <w:t>одноставочный</w:t>
            </w:r>
            <w:proofErr w:type="spellEnd"/>
            <w:r w:rsidRPr="00AF75F0">
              <w:rPr>
                <w:rFonts w:ascii="Cambria" w:eastAsia="Times New Roman" w:hAnsi="Cambria"/>
                <w:color w:val="000000"/>
                <w:sz w:val="16"/>
                <w:szCs w:val="16"/>
              </w:rPr>
              <w:t xml:space="preserve"> тариф</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w:t>
            </w:r>
            <w:proofErr w:type="spellStart"/>
            <w:r w:rsidRPr="00AF75F0">
              <w:rPr>
                <w:rFonts w:ascii="Cambria" w:eastAsia="Times New Roman" w:hAnsi="Cambria"/>
                <w:color w:val="000000"/>
                <w:sz w:val="12"/>
                <w:szCs w:val="12"/>
              </w:rPr>
              <w:t>МВт·</w:t>
            </w:r>
            <w:proofErr w:type="gramStart"/>
            <w:r w:rsidRPr="00AF75F0">
              <w:rPr>
                <w:rFonts w:ascii="Cambria" w:eastAsia="Times New Roman" w:hAnsi="Cambria"/>
                <w:color w:val="000000"/>
                <w:sz w:val="12"/>
                <w:szCs w:val="12"/>
              </w:rPr>
              <w:t>ч</w:t>
            </w:r>
            <w:proofErr w:type="spellEnd"/>
            <w:proofErr w:type="gramEnd"/>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1056"/>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2.</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На услуги коммерческого оператора оптового рынка электрической энергии (мощности)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w:t>
            </w:r>
            <w:proofErr w:type="spellStart"/>
            <w:r w:rsidRPr="00AF75F0">
              <w:rPr>
                <w:rFonts w:ascii="Cambria" w:eastAsia="Times New Roman" w:hAnsi="Cambria"/>
                <w:color w:val="000000"/>
                <w:sz w:val="12"/>
                <w:szCs w:val="12"/>
              </w:rPr>
              <w:t>МВт·</w:t>
            </w:r>
            <w:proofErr w:type="gramStart"/>
            <w:r w:rsidRPr="00AF75F0">
              <w:rPr>
                <w:rFonts w:ascii="Cambria" w:eastAsia="Times New Roman" w:hAnsi="Cambria"/>
                <w:color w:val="000000"/>
                <w:sz w:val="12"/>
                <w:szCs w:val="12"/>
              </w:rPr>
              <w:t>ч</w:t>
            </w:r>
            <w:proofErr w:type="spellEnd"/>
            <w:proofErr w:type="gramEnd"/>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r>
      <w:tr w:rsidR="00AF75F0" w:rsidRPr="00AF75F0" w:rsidTr="00AF75F0">
        <w:trPr>
          <w:trHeight w:val="61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3.</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Для гарантирующих поставщиков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r>
      <w:tr w:rsidR="00AF75F0" w:rsidRPr="00AF75F0" w:rsidTr="00AF75F0">
        <w:trPr>
          <w:trHeight w:val="816"/>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3.1.</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величина сбытовой надбавки для тарифной группы потребителей "население" и приравненных к нему категорий потребителей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w:t>
            </w:r>
            <w:proofErr w:type="spellStart"/>
            <w:r w:rsidRPr="00AF75F0">
              <w:rPr>
                <w:rFonts w:ascii="Cambria" w:eastAsia="Times New Roman" w:hAnsi="Cambria"/>
                <w:color w:val="000000"/>
                <w:sz w:val="12"/>
                <w:szCs w:val="12"/>
              </w:rPr>
              <w:t>МВт·</w:t>
            </w:r>
            <w:proofErr w:type="gramStart"/>
            <w:r w:rsidRPr="00AF75F0">
              <w:rPr>
                <w:rFonts w:ascii="Cambria" w:eastAsia="Times New Roman" w:hAnsi="Cambria"/>
                <w:color w:val="000000"/>
                <w:sz w:val="12"/>
                <w:szCs w:val="12"/>
              </w:rPr>
              <w:t>ч</w:t>
            </w:r>
            <w:proofErr w:type="spellEnd"/>
            <w:proofErr w:type="gramEnd"/>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30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30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30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30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50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50</w:t>
            </w:r>
          </w:p>
        </w:tc>
      </w:tr>
      <w:tr w:rsidR="00AF75F0" w:rsidRPr="00AF75F0" w:rsidTr="00AF75F0">
        <w:trPr>
          <w:trHeight w:val="115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3.2.</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w:t>
            </w:r>
            <w:proofErr w:type="spellStart"/>
            <w:r w:rsidRPr="00AF75F0">
              <w:rPr>
                <w:rFonts w:ascii="Cambria" w:eastAsia="Times New Roman" w:hAnsi="Cambria"/>
                <w:color w:val="000000"/>
                <w:sz w:val="12"/>
                <w:szCs w:val="12"/>
              </w:rPr>
              <w:t>МВт·</w:t>
            </w:r>
            <w:proofErr w:type="gramStart"/>
            <w:r w:rsidRPr="00AF75F0">
              <w:rPr>
                <w:rFonts w:ascii="Cambria" w:eastAsia="Times New Roman" w:hAnsi="Cambria"/>
                <w:color w:val="000000"/>
                <w:sz w:val="12"/>
                <w:szCs w:val="12"/>
              </w:rPr>
              <w:t>ч</w:t>
            </w:r>
            <w:proofErr w:type="spellEnd"/>
            <w:proofErr w:type="gramEnd"/>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41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3.3.</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доходность продаж для прочих потребителей: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процент</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36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lastRenderedPageBreak/>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менее 150 кВт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процент</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от 150 кВт до 670 кВт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процент</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от 670 кВт до 10 МВт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процент</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288"/>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не менее 10 МВт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процент</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36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4.</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b/>
                <w:bCs/>
                <w:color w:val="000000"/>
                <w:sz w:val="18"/>
                <w:szCs w:val="18"/>
              </w:rPr>
            </w:pPr>
            <w:r w:rsidRPr="00AF75F0">
              <w:rPr>
                <w:rFonts w:ascii="Cambria" w:eastAsia="Times New Roman" w:hAnsi="Cambria"/>
                <w:b/>
                <w:bCs/>
                <w:color w:val="000000"/>
                <w:sz w:val="18"/>
                <w:szCs w:val="18"/>
              </w:rPr>
              <w:t>Для генерирующих объектов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процент</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22"/>
                <w:szCs w:val="22"/>
              </w:rPr>
            </w:pPr>
            <w:r w:rsidRPr="00AF75F0">
              <w:rPr>
                <w:rFonts w:ascii="Cambria" w:eastAsia="Times New Roman" w:hAnsi="Cambria"/>
                <w:color w:val="000000"/>
                <w:sz w:val="22"/>
                <w:szCs w:val="22"/>
              </w:rPr>
              <w:t> </w:t>
            </w:r>
          </w:p>
        </w:tc>
      </w:tr>
      <w:tr w:rsidR="00AF75F0" w:rsidRPr="00AF75F0" w:rsidTr="00AF75F0">
        <w:trPr>
          <w:trHeight w:val="44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4.1.</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цена на электрическую энергию</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руб./тыс.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4140,00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4110,00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3964,91</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3934,91</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5580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5580</w:t>
            </w:r>
          </w:p>
        </w:tc>
      </w:tr>
      <w:tr w:rsidR="00AF75F0" w:rsidRPr="00AF75F0" w:rsidTr="00AF75F0">
        <w:trPr>
          <w:trHeight w:val="348"/>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 том числе топливная составляющая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xml:space="preserve">руб./тыс. </w:t>
            </w:r>
            <w:proofErr w:type="spellStart"/>
            <w:r w:rsidRPr="00AF75F0">
              <w:rPr>
                <w:rFonts w:ascii="Cambria" w:eastAsia="Times New Roman" w:hAnsi="Cambria"/>
                <w:color w:val="000000"/>
                <w:sz w:val="12"/>
                <w:szCs w:val="12"/>
              </w:rPr>
              <w:t>кВт·</w:t>
            </w:r>
            <w:proofErr w:type="gramStart"/>
            <w:r w:rsidRPr="00AF75F0">
              <w:rPr>
                <w:rFonts w:ascii="Cambria" w:eastAsia="Times New Roman" w:hAnsi="Cambria"/>
                <w:color w:val="000000"/>
                <w:sz w:val="12"/>
                <w:szCs w:val="12"/>
              </w:rPr>
              <w:t>ч</w:t>
            </w:r>
            <w:proofErr w:type="spellEnd"/>
            <w:proofErr w:type="gramEnd"/>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1864,96</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1864,96</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1167,17</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1167,17</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1785,4</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1785,4</w:t>
            </w:r>
          </w:p>
        </w:tc>
      </w:tr>
      <w:tr w:rsidR="00AF75F0" w:rsidRPr="00AF75F0" w:rsidTr="00AF75F0">
        <w:trPr>
          <w:trHeight w:val="288"/>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4.2.</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цена на генерирующую мощность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руб./МВт в мес.</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48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4.3.</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xml:space="preserve">средний </w:t>
            </w:r>
            <w:proofErr w:type="spellStart"/>
            <w:r w:rsidRPr="00AF75F0">
              <w:rPr>
                <w:rFonts w:ascii="Cambria" w:eastAsia="Times New Roman" w:hAnsi="Cambria"/>
                <w:color w:val="000000"/>
                <w:sz w:val="16"/>
                <w:szCs w:val="16"/>
              </w:rPr>
              <w:t>одноставочный</w:t>
            </w:r>
            <w:proofErr w:type="spellEnd"/>
            <w:r w:rsidRPr="00AF75F0">
              <w:rPr>
                <w:rFonts w:ascii="Cambria" w:eastAsia="Times New Roman" w:hAnsi="Cambria"/>
                <w:color w:val="000000"/>
                <w:sz w:val="16"/>
                <w:szCs w:val="16"/>
              </w:rPr>
              <w:t xml:space="preserve"> тариф на тепловую энергию</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руб./Гкал</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48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4.3.1.</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spellStart"/>
            <w:r w:rsidRPr="00AF75F0">
              <w:rPr>
                <w:rFonts w:ascii="Cambria" w:eastAsia="Times New Roman" w:hAnsi="Cambria"/>
                <w:color w:val="000000"/>
                <w:sz w:val="16"/>
                <w:szCs w:val="16"/>
              </w:rPr>
              <w:t>одноставочный</w:t>
            </w:r>
            <w:proofErr w:type="spellEnd"/>
            <w:r w:rsidRPr="00AF75F0">
              <w:rPr>
                <w:rFonts w:ascii="Cambria" w:eastAsia="Times New Roman" w:hAnsi="Cambria"/>
                <w:color w:val="000000"/>
                <w:sz w:val="16"/>
                <w:szCs w:val="16"/>
              </w:rPr>
              <w:t xml:space="preserve"> тариф на горячее водоснабжение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руб./Гкал</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32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4.3.2.</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тариф на отборный пар давлением: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руб./Гкал</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336"/>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1,2 - 2,5 кг/см</w:t>
            </w:r>
            <w:proofErr w:type="gramStart"/>
            <w:r w:rsidRPr="00AF75F0">
              <w:rPr>
                <w:rFonts w:ascii="Cambria" w:eastAsia="Times New Roman" w:hAnsi="Cambria"/>
                <w:color w:val="000000"/>
                <w:sz w:val="16"/>
                <w:szCs w:val="16"/>
                <w:vertAlign w:val="superscript"/>
              </w:rPr>
              <w:t>2</w:t>
            </w:r>
            <w:proofErr w:type="gram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руб./Гкал</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26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2,5 - 7,0 кг/см</w:t>
            </w:r>
            <w:proofErr w:type="gramStart"/>
            <w:r w:rsidRPr="00AF75F0">
              <w:rPr>
                <w:rFonts w:ascii="Cambria" w:eastAsia="Times New Roman" w:hAnsi="Cambria"/>
                <w:color w:val="000000"/>
                <w:sz w:val="16"/>
                <w:szCs w:val="16"/>
                <w:vertAlign w:val="superscript"/>
              </w:rPr>
              <w:t>2</w:t>
            </w:r>
            <w:proofErr w:type="gram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руб./Гкал</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288"/>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7,0 - 13,0 кг/см</w:t>
            </w:r>
            <w:proofErr w:type="gramStart"/>
            <w:r w:rsidRPr="00AF75F0">
              <w:rPr>
                <w:rFonts w:ascii="Cambria" w:eastAsia="Times New Roman" w:hAnsi="Cambria"/>
                <w:color w:val="000000"/>
                <w:sz w:val="16"/>
                <w:szCs w:val="16"/>
                <w:vertAlign w:val="superscript"/>
              </w:rPr>
              <w:t>2</w:t>
            </w:r>
            <w:proofErr w:type="gram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руб./Гкал</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37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&gt; 13 кг/см</w:t>
            </w:r>
            <w:proofErr w:type="gramStart"/>
            <w:r w:rsidRPr="00AF75F0">
              <w:rPr>
                <w:rFonts w:ascii="Cambria" w:eastAsia="Times New Roman" w:hAnsi="Cambria"/>
                <w:color w:val="000000"/>
                <w:sz w:val="16"/>
                <w:szCs w:val="16"/>
                <w:vertAlign w:val="superscript"/>
              </w:rPr>
              <w:t>2</w:t>
            </w:r>
            <w:proofErr w:type="gram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руб./Гкал</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48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4.3.3.</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тариф на острый и редуцированный пар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руб./Гкал</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44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4.4.</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proofErr w:type="spellStart"/>
            <w:r w:rsidRPr="00AF75F0">
              <w:rPr>
                <w:rFonts w:ascii="Cambria" w:eastAsia="Times New Roman" w:hAnsi="Cambria"/>
                <w:color w:val="000000"/>
                <w:sz w:val="16"/>
                <w:szCs w:val="16"/>
              </w:rPr>
              <w:t>двухставочный</w:t>
            </w:r>
            <w:proofErr w:type="spellEnd"/>
            <w:r w:rsidRPr="00AF75F0">
              <w:rPr>
                <w:rFonts w:ascii="Cambria" w:eastAsia="Times New Roman" w:hAnsi="Cambria"/>
                <w:color w:val="000000"/>
                <w:sz w:val="16"/>
                <w:szCs w:val="16"/>
              </w:rPr>
              <w:t xml:space="preserve"> тариф на тепловую энергию</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408"/>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4.4.1.</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ставка на содержание тепловой мощности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руб./Гкал/</w:t>
            </w:r>
            <w:proofErr w:type="gramStart"/>
            <w:r w:rsidRPr="00AF75F0">
              <w:rPr>
                <w:rFonts w:ascii="Cambria" w:eastAsia="Times New Roman" w:hAnsi="Cambria"/>
                <w:color w:val="000000"/>
                <w:sz w:val="12"/>
                <w:szCs w:val="12"/>
              </w:rPr>
              <w:t>ч</w:t>
            </w:r>
            <w:proofErr w:type="gramEnd"/>
            <w:r w:rsidRPr="00AF75F0">
              <w:rPr>
                <w:rFonts w:ascii="Cambria" w:eastAsia="Times New Roman" w:hAnsi="Cambria"/>
                <w:color w:val="000000"/>
                <w:sz w:val="12"/>
                <w:szCs w:val="12"/>
              </w:rPr>
              <w:t xml:space="preserve"> в месяц</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31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4.4.2.</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тариф на тепловую энергию</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руб./Гкал</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348"/>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4.5.</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средний тариф на теплоноситель, в том числе: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руб./куб. метра</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31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вода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руб./куб. метра</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r w:rsidR="00AF75F0" w:rsidRPr="00AF75F0" w:rsidTr="00AF75F0">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rPr>
                <w:rFonts w:ascii="Cambria" w:eastAsia="Times New Roman" w:hAnsi="Cambria"/>
                <w:color w:val="000000"/>
                <w:sz w:val="16"/>
                <w:szCs w:val="16"/>
              </w:rPr>
            </w:pPr>
            <w:r w:rsidRPr="00AF75F0">
              <w:rPr>
                <w:rFonts w:ascii="Cambria" w:eastAsia="Times New Roman" w:hAnsi="Cambria"/>
                <w:color w:val="000000"/>
                <w:sz w:val="16"/>
                <w:szCs w:val="16"/>
              </w:rPr>
              <w:t>пар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2"/>
                <w:szCs w:val="12"/>
              </w:rPr>
            </w:pPr>
            <w:r w:rsidRPr="00AF75F0">
              <w:rPr>
                <w:rFonts w:ascii="Cambria" w:eastAsia="Times New Roman" w:hAnsi="Cambria"/>
                <w:color w:val="000000"/>
                <w:sz w:val="12"/>
                <w:szCs w:val="12"/>
              </w:rPr>
              <w:t>руб./куб. метра</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F75F0" w:rsidRPr="00AF75F0" w:rsidRDefault="00AF75F0" w:rsidP="00AF75F0">
            <w:pPr>
              <w:autoSpaceDE/>
              <w:autoSpaceDN/>
              <w:jc w:val="center"/>
              <w:rPr>
                <w:rFonts w:ascii="Cambria" w:eastAsia="Times New Roman" w:hAnsi="Cambria"/>
                <w:color w:val="000000"/>
                <w:sz w:val="16"/>
                <w:szCs w:val="16"/>
              </w:rPr>
            </w:pPr>
            <w:r w:rsidRPr="00AF75F0">
              <w:rPr>
                <w:rFonts w:ascii="Cambria" w:eastAsia="Times New Roman" w:hAnsi="Cambria"/>
                <w:color w:val="000000"/>
                <w:sz w:val="16"/>
                <w:szCs w:val="16"/>
              </w:rPr>
              <w:t> </w:t>
            </w:r>
          </w:p>
        </w:tc>
      </w:tr>
    </w:tbl>
    <w:p w:rsidR="00AF75F0" w:rsidRDefault="00AF75F0">
      <w:pPr>
        <w:rPr>
          <w:sz w:val="24"/>
          <w:szCs w:val="24"/>
        </w:rPr>
      </w:pPr>
    </w:p>
    <w:sectPr w:rsidR="00AF75F0" w:rsidSect="00AF75F0">
      <w:headerReference w:type="default" r:id="rId8"/>
      <w:pgSz w:w="11907" w:h="16840" w:code="9"/>
      <w:pgMar w:top="567" w:right="284" w:bottom="567" w:left="1418" w:header="397"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67" w:rsidRDefault="00190A67">
      <w:r>
        <w:separator/>
      </w:r>
    </w:p>
  </w:endnote>
  <w:endnote w:type="continuationSeparator" w:id="0">
    <w:p w:rsidR="00190A67" w:rsidRDefault="0019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67" w:rsidRDefault="00190A67">
      <w:r>
        <w:separator/>
      </w:r>
    </w:p>
  </w:footnote>
  <w:footnote w:type="continuationSeparator" w:id="0">
    <w:p w:rsidR="00190A67" w:rsidRDefault="0019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86" w:rsidRDefault="00B34E86">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C8D6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51402"/>
    <w:multiLevelType w:val="multilevel"/>
    <w:tmpl w:val="9500BA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C74F5B"/>
    <w:multiLevelType w:val="multilevel"/>
    <w:tmpl w:val="37D2CD2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4A09F4"/>
    <w:multiLevelType w:val="multilevel"/>
    <w:tmpl w:val="5AD4F3CA"/>
    <w:lvl w:ilvl="0">
      <w:start w:val="1"/>
      <w:numFmt w:val="decimal"/>
      <w:lvlText w:val="%1."/>
      <w:lvlJc w:val="left"/>
      <w:pPr>
        <w:ind w:left="113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9775617"/>
    <w:multiLevelType w:val="multilevel"/>
    <w:tmpl w:val="CA74670C"/>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36D6528"/>
    <w:multiLevelType w:val="multilevel"/>
    <w:tmpl w:val="E86ADD2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nsid w:val="15B32538"/>
    <w:multiLevelType w:val="multilevel"/>
    <w:tmpl w:val="01709E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800619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1B5D790C"/>
    <w:multiLevelType w:val="multilevel"/>
    <w:tmpl w:val="07BAD16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07474A"/>
    <w:multiLevelType w:val="multilevel"/>
    <w:tmpl w:val="6E7C26B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nsid w:val="265B2708"/>
    <w:multiLevelType w:val="multilevel"/>
    <w:tmpl w:val="A746AC3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28C84B04"/>
    <w:multiLevelType w:val="multilevel"/>
    <w:tmpl w:val="BCACBA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94C105A"/>
    <w:multiLevelType w:val="multilevel"/>
    <w:tmpl w:val="22C2E5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E2A4335"/>
    <w:multiLevelType w:val="multilevel"/>
    <w:tmpl w:val="B0D09B5A"/>
    <w:lvl w:ilvl="0">
      <w:start w:val="1"/>
      <w:numFmt w:val="decimal"/>
      <w:lvlText w:val="%1)"/>
      <w:lvlJc w:val="left"/>
      <w:pPr>
        <w:tabs>
          <w:tab w:val="num" w:pos="870"/>
        </w:tabs>
        <w:ind w:left="870" w:hanging="5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9C43D2"/>
    <w:multiLevelType w:val="multilevel"/>
    <w:tmpl w:val="F5AC8C8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7B30C7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37D367BA"/>
    <w:multiLevelType w:val="multilevel"/>
    <w:tmpl w:val="404E4E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70663E"/>
    <w:multiLevelType w:val="multilevel"/>
    <w:tmpl w:val="40683E9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412C7791"/>
    <w:multiLevelType w:val="multilevel"/>
    <w:tmpl w:val="726E61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320697D"/>
    <w:multiLevelType w:val="multilevel"/>
    <w:tmpl w:val="5DCCBA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A6782E"/>
    <w:multiLevelType w:val="multilevel"/>
    <w:tmpl w:val="BC383D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4A3673C"/>
    <w:multiLevelType w:val="multilevel"/>
    <w:tmpl w:val="5BE024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8162BA3"/>
    <w:multiLevelType w:val="multilevel"/>
    <w:tmpl w:val="6A940AE4"/>
    <w:lvl w:ilvl="0">
      <w:start w:val="1"/>
      <w:numFmt w:val="decimal"/>
      <w:lvlText w:val="%1."/>
      <w:lvlJc w:val="left"/>
      <w:pPr>
        <w:ind w:left="92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8856694"/>
    <w:multiLevelType w:val="multilevel"/>
    <w:tmpl w:val="EFEE2F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9020FEC"/>
    <w:multiLevelType w:val="multilevel"/>
    <w:tmpl w:val="0AFA82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99D5138"/>
    <w:multiLevelType w:val="multilevel"/>
    <w:tmpl w:val="517A0C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2733CC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53DA1FFD"/>
    <w:multiLevelType w:val="multilevel"/>
    <w:tmpl w:val="3DE2809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54255155"/>
    <w:multiLevelType w:val="multilevel"/>
    <w:tmpl w:val="D9A06E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4F1576C"/>
    <w:multiLevelType w:val="multilevel"/>
    <w:tmpl w:val="466281E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88F400D"/>
    <w:multiLevelType w:val="multilevel"/>
    <w:tmpl w:val="0AFCC7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AD574FB"/>
    <w:multiLevelType w:val="multilevel"/>
    <w:tmpl w:val="72A8202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5D026562"/>
    <w:multiLevelType w:val="multilevel"/>
    <w:tmpl w:val="784A09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E315B4B"/>
    <w:multiLevelType w:val="multilevel"/>
    <w:tmpl w:val="382C6E7E"/>
    <w:lvl w:ilvl="0">
      <w:start w:val="1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nsid w:val="5FDE23E7"/>
    <w:multiLevelType w:val="multilevel"/>
    <w:tmpl w:val="0E74FB2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27145BA"/>
    <w:multiLevelType w:val="multilevel"/>
    <w:tmpl w:val="875678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527568D"/>
    <w:multiLevelType w:val="multilevel"/>
    <w:tmpl w:val="373EB8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B7D76D1"/>
    <w:multiLevelType w:val="multilevel"/>
    <w:tmpl w:val="26D2D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BFF528D"/>
    <w:multiLevelType w:val="multilevel"/>
    <w:tmpl w:val="7EA62A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F5C62E8"/>
    <w:multiLevelType w:val="multilevel"/>
    <w:tmpl w:val="3620F6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60F7ED1"/>
    <w:multiLevelType w:val="multilevel"/>
    <w:tmpl w:val="C9D45E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C5D5521"/>
    <w:multiLevelType w:val="multilevel"/>
    <w:tmpl w:val="41F0F0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9"/>
  </w:num>
  <w:num w:numId="4">
    <w:abstractNumId w:val="20"/>
  </w:num>
  <w:num w:numId="5">
    <w:abstractNumId w:val="38"/>
  </w:num>
  <w:num w:numId="6">
    <w:abstractNumId w:val="39"/>
  </w:num>
  <w:num w:numId="7">
    <w:abstractNumId w:val="32"/>
  </w:num>
  <w:num w:numId="8">
    <w:abstractNumId w:val="21"/>
  </w:num>
  <w:num w:numId="9">
    <w:abstractNumId w:val="18"/>
  </w:num>
  <w:num w:numId="10">
    <w:abstractNumId w:val="37"/>
  </w:num>
  <w:num w:numId="11">
    <w:abstractNumId w:val="16"/>
  </w:num>
  <w:num w:numId="12">
    <w:abstractNumId w:val="30"/>
  </w:num>
  <w:num w:numId="13">
    <w:abstractNumId w:val="28"/>
  </w:num>
  <w:num w:numId="14">
    <w:abstractNumId w:val="23"/>
  </w:num>
  <w:num w:numId="15">
    <w:abstractNumId w:val="41"/>
  </w:num>
  <w:num w:numId="16">
    <w:abstractNumId w:val="36"/>
  </w:num>
  <w:num w:numId="17">
    <w:abstractNumId w:val="1"/>
  </w:num>
  <w:num w:numId="18">
    <w:abstractNumId w:val="12"/>
  </w:num>
  <w:num w:numId="19">
    <w:abstractNumId w:val="35"/>
  </w:num>
  <w:num w:numId="20">
    <w:abstractNumId w:val="25"/>
  </w:num>
  <w:num w:numId="21">
    <w:abstractNumId w:val="26"/>
  </w:num>
  <w:num w:numId="22">
    <w:abstractNumId w:val="29"/>
  </w:num>
  <w:num w:numId="23">
    <w:abstractNumId w:val="24"/>
  </w:num>
  <w:num w:numId="24">
    <w:abstractNumId w:val="8"/>
  </w:num>
  <w:num w:numId="25">
    <w:abstractNumId w:val="34"/>
  </w:num>
  <w:num w:numId="26">
    <w:abstractNumId w:val="0"/>
  </w:num>
  <w:num w:numId="27">
    <w:abstractNumId w:val="5"/>
  </w:num>
  <w:num w:numId="28">
    <w:abstractNumId w:val="9"/>
  </w:num>
  <w:num w:numId="29">
    <w:abstractNumId w:val="40"/>
  </w:num>
  <w:num w:numId="30">
    <w:abstractNumId w:val="15"/>
  </w:num>
  <w:num w:numId="31">
    <w:abstractNumId w:val="7"/>
  </w:num>
  <w:num w:numId="32">
    <w:abstractNumId w:val="6"/>
  </w:num>
  <w:num w:numId="33">
    <w:abstractNumId w:val="27"/>
  </w:num>
  <w:num w:numId="34">
    <w:abstractNumId w:val="10"/>
  </w:num>
  <w:num w:numId="35">
    <w:abstractNumId w:val="14"/>
  </w:num>
  <w:num w:numId="36">
    <w:abstractNumId w:val="31"/>
  </w:num>
  <w:num w:numId="37">
    <w:abstractNumId w:val="17"/>
  </w:num>
  <w:num w:numId="38">
    <w:abstractNumId w:val="22"/>
  </w:num>
  <w:num w:numId="39">
    <w:abstractNumId w:val="2"/>
  </w:num>
  <w:num w:numId="40">
    <w:abstractNumId w:val="13"/>
  </w:num>
  <w:num w:numId="41">
    <w:abstractNumId w:val="3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FE"/>
    <w:rsid w:val="0006099A"/>
    <w:rsid w:val="000E1C64"/>
    <w:rsid w:val="00190A67"/>
    <w:rsid w:val="00211600"/>
    <w:rsid w:val="003C0534"/>
    <w:rsid w:val="003D2915"/>
    <w:rsid w:val="005B4860"/>
    <w:rsid w:val="006E756B"/>
    <w:rsid w:val="00A705B2"/>
    <w:rsid w:val="00AF75F0"/>
    <w:rsid w:val="00B321FE"/>
    <w:rsid w:val="00B34E86"/>
    <w:rsid w:val="00CD16B0"/>
    <w:rsid w:val="00D50A96"/>
    <w:rsid w:val="00EC1B32"/>
    <w:rsid w:val="00FF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customStyle="1" w:styleId="1-1pt">
    <w:name w:val="Заголовок №1 + Интервал -1 pt"/>
    <w:basedOn w:val="a0"/>
    <w:uiPriority w:val="99"/>
    <w:rPr>
      <w:rFonts w:cs="Times New Roman"/>
      <w:spacing w:val="-20"/>
      <w:sz w:val="21"/>
      <w:szCs w:val="21"/>
    </w:rPr>
  </w:style>
  <w:style w:type="character" w:customStyle="1" w:styleId="11">
    <w:name w:val="Основной текст (11)"/>
    <w:basedOn w:val="a0"/>
    <w:uiPriority w:val="99"/>
    <w:rPr>
      <w:rFonts w:cs="Times New Roman"/>
      <w:sz w:val="14"/>
      <w:szCs w:val="14"/>
    </w:rPr>
  </w:style>
  <w:style w:type="paragraph" w:customStyle="1" w:styleId="2">
    <w:name w:val="Основной текст (2)"/>
    <w:basedOn w:val="a"/>
    <w:uiPriority w:val="9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pPr>
      <w:shd w:val="clear" w:color="auto" w:fill="FFFFFF"/>
      <w:spacing w:before="60" w:after="240" w:line="240" w:lineRule="atLeast"/>
      <w:outlineLvl w:val="0"/>
    </w:pPr>
    <w:rPr>
      <w:noProof/>
      <w:spacing w:val="10"/>
      <w:sz w:val="21"/>
      <w:szCs w:val="21"/>
      <w:lang w:val="en-US"/>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PlusNormal">
    <w:name w:val="ConsPlusNormal"/>
    <w:uiPriority w:val="99"/>
    <w:pPr>
      <w:widowControl w:val="0"/>
      <w:autoSpaceDE w:val="0"/>
      <w:autoSpaceDN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customStyle="1" w:styleId="1-1pt">
    <w:name w:val="Заголовок №1 + Интервал -1 pt"/>
    <w:basedOn w:val="a0"/>
    <w:uiPriority w:val="99"/>
    <w:rPr>
      <w:rFonts w:cs="Times New Roman"/>
      <w:spacing w:val="-20"/>
      <w:sz w:val="21"/>
      <w:szCs w:val="21"/>
    </w:rPr>
  </w:style>
  <w:style w:type="character" w:customStyle="1" w:styleId="11">
    <w:name w:val="Основной текст (11)"/>
    <w:basedOn w:val="a0"/>
    <w:uiPriority w:val="99"/>
    <w:rPr>
      <w:rFonts w:cs="Times New Roman"/>
      <w:sz w:val="14"/>
      <w:szCs w:val="14"/>
    </w:rPr>
  </w:style>
  <w:style w:type="paragraph" w:customStyle="1" w:styleId="2">
    <w:name w:val="Основной текст (2)"/>
    <w:basedOn w:val="a"/>
    <w:uiPriority w:val="9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pPr>
      <w:shd w:val="clear" w:color="auto" w:fill="FFFFFF"/>
      <w:spacing w:before="60" w:after="240" w:line="240" w:lineRule="atLeast"/>
      <w:outlineLvl w:val="0"/>
    </w:pPr>
    <w:rPr>
      <w:noProof/>
      <w:spacing w:val="10"/>
      <w:sz w:val="21"/>
      <w:szCs w:val="21"/>
      <w:lang w:val="en-US"/>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PlusNormal">
    <w:name w:val="ConsPlusNormal"/>
    <w:uiPriority w:val="99"/>
    <w:pPr>
      <w:widowControl w:val="0"/>
      <w:autoSpaceDE w:val="0"/>
      <w:autoSpaceDN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3727">
      <w:bodyDiv w:val="1"/>
      <w:marLeft w:val="0"/>
      <w:marRight w:val="0"/>
      <w:marTop w:val="0"/>
      <w:marBottom w:val="0"/>
      <w:divBdr>
        <w:top w:val="none" w:sz="0" w:space="0" w:color="auto"/>
        <w:left w:val="none" w:sz="0" w:space="0" w:color="auto"/>
        <w:bottom w:val="none" w:sz="0" w:space="0" w:color="auto"/>
        <w:right w:val="none" w:sz="0" w:space="0" w:color="auto"/>
      </w:divBdr>
    </w:div>
    <w:div w:id="587688664">
      <w:bodyDiv w:val="1"/>
      <w:marLeft w:val="0"/>
      <w:marRight w:val="0"/>
      <w:marTop w:val="0"/>
      <w:marBottom w:val="0"/>
      <w:divBdr>
        <w:top w:val="none" w:sz="0" w:space="0" w:color="auto"/>
        <w:left w:val="none" w:sz="0" w:space="0" w:color="auto"/>
        <w:bottom w:val="none" w:sz="0" w:space="0" w:color="auto"/>
        <w:right w:val="none" w:sz="0" w:space="0" w:color="auto"/>
      </w:divBdr>
    </w:div>
    <w:div w:id="1110398846">
      <w:bodyDiv w:val="1"/>
      <w:marLeft w:val="0"/>
      <w:marRight w:val="0"/>
      <w:marTop w:val="0"/>
      <w:marBottom w:val="0"/>
      <w:divBdr>
        <w:top w:val="none" w:sz="0" w:space="0" w:color="auto"/>
        <w:left w:val="none" w:sz="0" w:space="0" w:color="auto"/>
        <w:bottom w:val="none" w:sz="0" w:space="0" w:color="auto"/>
        <w:right w:val="none" w:sz="0" w:space="0" w:color="auto"/>
      </w:divBdr>
    </w:div>
    <w:div w:id="165865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123</cp:lastModifiedBy>
  <cp:revision>4</cp:revision>
  <cp:lastPrinted>2014-08-15T03:59:00Z</cp:lastPrinted>
  <dcterms:created xsi:type="dcterms:W3CDTF">2017-04-18T04:19:00Z</dcterms:created>
  <dcterms:modified xsi:type="dcterms:W3CDTF">2017-04-20T03:40:00Z</dcterms:modified>
</cp:coreProperties>
</file>