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Layout w:type="fixed"/>
        <w:tblLook w:val="04A0" w:firstRow="1" w:lastRow="0" w:firstColumn="1" w:lastColumn="0" w:noHBand="0" w:noVBand="1"/>
      </w:tblPr>
      <w:tblGrid>
        <w:gridCol w:w="1583"/>
        <w:gridCol w:w="840"/>
        <w:gridCol w:w="2979"/>
        <w:gridCol w:w="9214"/>
      </w:tblGrid>
      <w:tr w:rsidR="006273A4" w:rsidTr="00224D15">
        <w:trPr>
          <w:trHeight w:val="720"/>
        </w:trPr>
        <w:tc>
          <w:tcPr>
            <w:tcW w:w="14616" w:type="dxa"/>
            <w:gridSpan w:val="4"/>
            <w:tcBorders>
              <w:top w:val="nil"/>
              <w:left w:val="nil"/>
              <w:bottom w:val="nil"/>
              <w:right w:val="nil"/>
            </w:tcBorders>
            <w:shd w:val="clear" w:color="auto" w:fill="auto"/>
            <w:vAlign w:val="center"/>
            <w:hideMark/>
          </w:tcPr>
          <w:p w:rsidR="006273A4" w:rsidRPr="006273A4" w:rsidRDefault="006273A4" w:rsidP="00224D15">
            <w:pPr>
              <w:jc w:val="center"/>
              <w:rPr>
                <w:rFonts w:ascii="Cambria" w:hAnsi="Cambria" w:cs="Calibri"/>
                <w:b/>
                <w:bCs/>
                <w:color w:val="111111"/>
              </w:rPr>
            </w:pPr>
            <w:bookmarkStart w:id="0" w:name="RANGE!A1:D36"/>
            <w:r w:rsidRPr="006273A4">
              <w:rPr>
                <w:rFonts w:ascii="Cambria" w:hAnsi="Cambria" w:cs="Calibri"/>
                <w:b/>
                <w:bCs/>
                <w:color w:val="111111"/>
              </w:rPr>
              <w:t xml:space="preserve">Информация, </w:t>
            </w:r>
          </w:p>
          <w:p w:rsidR="006273A4" w:rsidRDefault="006273A4" w:rsidP="00224D15">
            <w:pPr>
              <w:jc w:val="center"/>
              <w:rPr>
                <w:rFonts w:ascii="Cambria" w:hAnsi="Cambria" w:cs="Calibri"/>
                <w:b/>
                <w:bCs/>
                <w:color w:val="111111"/>
                <w:sz w:val="20"/>
                <w:szCs w:val="20"/>
              </w:rPr>
            </w:pPr>
            <w:proofErr w:type="gramStart"/>
            <w:r w:rsidRPr="006273A4">
              <w:rPr>
                <w:rFonts w:ascii="Cambria" w:hAnsi="Cambria" w:cs="Calibri"/>
                <w:b/>
                <w:bCs/>
                <w:color w:val="111111"/>
              </w:rPr>
              <w:t>раскрываемая</w:t>
            </w:r>
            <w:proofErr w:type="gramEnd"/>
            <w:r w:rsidRPr="006273A4">
              <w:rPr>
                <w:rFonts w:ascii="Cambria" w:hAnsi="Cambria" w:cs="Calibri"/>
                <w:b/>
                <w:bCs/>
                <w:color w:val="111111"/>
              </w:rPr>
              <w:t xml:space="preserve"> в соответствии с подпунктом «б» пункта 20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21.01.2004 № 24</w:t>
            </w:r>
            <w:bookmarkEnd w:id="0"/>
          </w:p>
        </w:tc>
      </w:tr>
      <w:tr w:rsidR="006273A4" w:rsidTr="00224D15">
        <w:trPr>
          <w:trHeight w:val="270"/>
        </w:trPr>
        <w:tc>
          <w:tcPr>
            <w:tcW w:w="1583" w:type="dxa"/>
            <w:tcBorders>
              <w:top w:val="nil"/>
              <w:left w:val="nil"/>
              <w:bottom w:val="single" w:sz="4" w:space="0" w:color="auto"/>
              <w:right w:val="nil"/>
            </w:tcBorders>
            <w:shd w:val="clear" w:color="000000" w:fill="F9F9F9"/>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w:t>
            </w:r>
          </w:p>
        </w:tc>
        <w:tc>
          <w:tcPr>
            <w:tcW w:w="840" w:type="dxa"/>
            <w:tcBorders>
              <w:top w:val="nil"/>
              <w:left w:val="nil"/>
              <w:bottom w:val="single" w:sz="4" w:space="0" w:color="auto"/>
              <w:right w:val="nil"/>
            </w:tcBorders>
            <w:shd w:val="clear" w:color="auto" w:fill="auto"/>
            <w:vAlign w:val="center"/>
            <w:hideMark/>
          </w:tcPr>
          <w:p w:rsidR="006273A4" w:rsidRDefault="006273A4" w:rsidP="00224D15">
            <w:pPr>
              <w:rPr>
                <w:rFonts w:ascii="Cambria" w:hAnsi="Cambria" w:cs="Calibri"/>
                <w:color w:val="000000"/>
                <w:sz w:val="20"/>
                <w:szCs w:val="20"/>
              </w:rPr>
            </w:pPr>
          </w:p>
        </w:tc>
        <w:tc>
          <w:tcPr>
            <w:tcW w:w="2979" w:type="dxa"/>
            <w:tcBorders>
              <w:top w:val="nil"/>
              <w:left w:val="nil"/>
              <w:bottom w:val="single" w:sz="4" w:space="0" w:color="auto"/>
              <w:right w:val="nil"/>
            </w:tcBorders>
            <w:shd w:val="clear" w:color="auto" w:fill="auto"/>
            <w:vAlign w:val="center"/>
            <w:hideMark/>
          </w:tcPr>
          <w:p w:rsidR="006273A4" w:rsidRDefault="006273A4" w:rsidP="00224D15">
            <w:pPr>
              <w:rPr>
                <w:rFonts w:ascii="Cambria" w:hAnsi="Cambria" w:cs="Calibri"/>
                <w:color w:val="000000"/>
                <w:sz w:val="20"/>
                <w:szCs w:val="20"/>
              </w:rPr>
            </w:pPr>
          </w:p>
        </w:tc>
        <w:tc>
          <w:tcPr>
            <w:tcW w:w="9214" w:type="dxa"/>
            <w:tcBorders>
              <w:top w:val="nil"/>
              <w:left w:val="nil"/>
              <w:bottom w:val="single" w:sz="4" w:space="0" w:color="auto"/>
              <w:right w:val="nil"/>
            </w:tcBorders>
            <w:shd w:val="clear" w:color="auto" w:fill="auto"/>
            <w:vAlign w:val="center"/>
            <w:hideMark/>
          </w:tcPr>
          <w:p w:rsidR="006273A4" w:rsidRDefault="006273A4" w:rsidP="00224D15">
            <w:pPr>
              <w:rPr>
                <w:rFonts w:ascii="Cambria" w:hAnsi="Cambria" w:cs="Calibri"/>
                <w:color w:val="000000"/>
                <w:sz w:val="20"/>
                <w:szCs w:val="20"/>
              </w:rPr>
            </w:pPr>
          </w:p>
        </w:tc>
      </w:tr>
      <w:tr w:rsidR="006273A4" w:rsidTr="00224D15">
        <w:trPr>
          <w:trHeight w:val="324"/>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Основные условия</w:t>
            </w:r>
            <w:r>
              <w:rPr>
                <w:rFonts w:ascii="Cambria" w:hAnsi="Cambria" w:cs="Calibri"/>
                <w:color w:val="111111"/>
                <w:sz w:val="20"/>
                <w:szCs w:val="20"/>
              </w:rPr>
              <w:softHyphen/>
              <w:t xml:space="preserve"> договора купли-продажи электрической энергии</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1</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Срок действия договора</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ПОТРЕБИТЕЛИ ЭЛЕКТРИЧЕСКОЙ ЭНЕРГИИ, ЗА ИСКЛЮЧЕНИЕМ НАСЕЛЕНИЯ</w:t>
            </w:r>
          </w:p>
        </w:tc>
      </w:tr>
      <w:tr w:rsidR="006273A4" w:rsidTr="00224D15">
        <w:trPr>
          <w:trHeight w:val="19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proofErr w:type="gramStart"/>
            <w:r>
              <w:rPr>
                <w:rFonts w:ascii="Cambria" w:hAnsi="Cambria" w:cs="Calibri"/>
                <w:color w:val="111111"/>
                <w:sz w:val="20"/>
                <w:szCs w:val="20"/>
              </w:rPr>
              <w:t xml:space="preserve">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w:t>
            </w:r>
            <w:proofErr w:type="spellStart"/>
            <w:r>
              <w:rPr>
                <w:rFonts w:ascii="Cambria" w:hAnsi="Cambria" w:cs="Calibri"/>
                <w:color w:val="111111"/>
                <w:sz w:val="20"/>
                <w:szCs w:val="20"/>
              </w:rPr>
              <w:t>энергопринимающих</w:t>
            </w:r>
            <w:proofErr w:type="spellEnd"/>
            <w:r>
              <w:rPr>
                <w:rFonts w:ascii="Cambria" w:hAnsi="Cambria" w:cs="Calibri"/>
                <w:color w:val="111111"/>
                <w:sz w:val="20"/>
                <w:szCs w:val="20"/>
              </w:rPr>
              <w:t xml:space="preserve"> устройств по временной схеме электроснабжения, предусмотренной Правилами технологического присоединения </w:t>
            </w:r>
            <w:proofErr w:type="spellStart"/>
            <w:r>
              <w:rPr>
                <w:rFonts w:ascii="Cambria" w:hAnsi="Cambria" w:cs="Calibri"/>
                <w:color w:val="111111"/>
                <w:sz w:val="20"/>
                <w:szCs w:val="20"/>
              </w:rPr>
              <w:t>энергопринимающих</w:t>
            </w:r>
            <w:proofErr w:type="spellEnd"/>
            <w:r>
              <w:rPr>
                <w:rFonts w:ascii="Cambria" w:hAnsi="Cambria" w:cs="Calibri"/>
                <w:color w:val="111111"/>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Pr>
                <w:rFonts w:ascii="Cambria" w:hAnsi="Cambria" w:cs="Calibri"/>
                <w:color w:val="111111"/>
                <w:sz w:val="20"/>
                <w:szCs w:val="20"/>
              </w:rPr>
              <w:t xml:space="preserve"> </w:t>
            </w:r>
            <w:proofErr w:type="gramStart"/>
            <w:r>
              <w:rPr>
                <w:rFonts w:ascii="Cambria" w:hAnsi="Cambria" w:cs="Calibri"/>
                <w:color w:val="111111"/>
                <w:sz w:val="20"/>
                <w:szCs w:val="20"/>
              </w:rPr>
              <w:t>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roofErr w:type="gramEnd"/>
          </w:p>
        </w:tc>
      </w:tr>
      <w:tr w:rsidR="006273A4" w:rsidTr="00224D15">
        <w:trPr>
          <w:trHeight w:val="179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6273A4" w:rsidTr="00224D15">
        <w:trPr>
          <w:trHeight w:val="22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НАСЕЛЕНИЕ И ПРИРАВНЕННЫЕ К НЕМУ КАТЕГОРИИ ПОТРЕБИТЕЛЕЙ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w:t>
            </w:r>
            <w:proofErr w:type="gramStart"/>
            <w:r>
              <w:rPr>
                <w:rFonts w:ascii="Cambria" w:hAnsi="Cambria" w:cs="Calibri"/>
                <w:color w:val="111111"/>
                <w:sz w:val="20"/>
                <w:szCs w:val="20"/>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гарантирующим поставщиком с даты начала предоставления коммунальных услуг таким исполнителем, указанной в пункте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roofErr w:type="gramEnd"/>
          </w:p>
        </w:tc>
      </w:tr>
      <w:tr w:rsidR="006273A4" w:rsidTr="00224D15">
        <w:trPr>
          <w:trHeight w:val="82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tc>
      </w:tr>
      <w:tr w:rsidR="006273A4" w:rsidTr="00224D15">
        <w:trPr>
          <w:trHeight w:val="274"/>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2</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Вид цены на электрическую энергию (фиксированная или переменная)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"ПОТРЕБИТЕЛИ ЭЛЕКТРИЧЕСКОЙ ЭНЕРГИИ, ЗА ИСКЛЮЧЕНИЕМ НАСЕЛЕНИЯ</w:t>
            </w:r>
          </w:p>
        </w:tc>
      </w:tr>
      <w:tr w:rsidR="006273A4" w:rsidTr="00224D15">
        <w:trPr>
          <w:trHeight w:val="57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Электрическая энергия (мощность) продается по регулируемым ценам  </w:t>
            </w:r>
            <w:proofErr w:type="gramStart"/>
            <w:r>
              <w:rPr>
                <w:rFonts w:ascii="Cambria" w:hAnsi="Cambria" w:cs="Calibri"/>
                <w:color w:val="111111"/>
                <w:sz w:val="20"/>
                <w:szCs w:val="20"/>
              </w:rPr>
              <w:t>установленных</w:t>
            </w:r>
            <w:proofErr w:type="gramEnd"/>
            <w:r>
              <w:rPr>
                <w:rFonts w:ascii="Cambria" w:hAnsi="Cambria" w:cs="Calibri"/>
                <w:color w:val="111111"/>
                <w:sz w:val="20"/>
                <w:szCs w:val="20"/>
              </w:rPr>
              <w:t xml:space="preserve"> РЭК Сахалинской области </w:t>
            </w:r>
          </w:p>
        </w:tc>
      </w:tr>
      <w:tr w:rsidR="006273A4" w:rsidTr="00224D15">
        <w:trPr>
          <w:trHeight w:val="834"/>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НАСЕЛЕНИЕ И ПРИРАВНЕННЫЕ К НЕМУ КАТЕГОРИИ ПОТРЕБИТЕЛЕЙ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РЭК Сахалинской области</w:t>
            </w:r>
          </w:p>
        </w:tc>
      </w:tr>
      <w:tr w:rsidR="006273A4" w:rsidTr="00224D15">
        <w:trPr>
          <w:trHeight w:val="5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3</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Форма оплаты</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Оплата стоимости потребленной электроэнергии производится по наличному или безналичному расчету.</w:t>
            </w:r>
          </w:p>
        </w:tc>
      </w:tr>
      <w:tr w:rsidR="006273A4" w:rsidTr="00224D15">
        <w:trPr>
          <w:trHeight w:val="76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4</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Форма обеспечения исполнения обязатель</w:t>
            </w:r>
            <w:proofErr w:type="gramStart"/>
            <w:r>
              <w:rPr>
                <w:rFonts w:ascii="Cambria" w:hAnsi="Cambria" w:cs="Calibri"/>
                <w:color w:val="111111"/>
                <w:sz w:val="20"/>
                <w:szCs w:val="20"/>
              </w:rPr>
              <w:t>ств ст</w:t>
            </w:r>
            <w:proofErr w:type="gramEnd"/>
            <w:r>
              <w:rPr>
                <w:rFonts w:ascii="Cambria" w:hAnsi="Cambria" w:cs="Calibri"/>
                <w:color w:val="111111"/>
                <w:sz w:val="20"/>
                <w:szCs w:val="20"/>
              </w:rPr>
              <w:t>орон по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Основной формой обеспечения исполнения обязательств по договору является неустойка (пени). Договором может быть предусмотрены иные формы обеспечения исполнения обязатель</w:t>
            </w:r>
            <w:proofErr w:type="gramStart"/>
            <w:r>
              <w:rPr>
                <w:rFonts w:ascii="Cambria" w:hAnsi="Cambria" w:cs="Calibri"/>
                <w:color w:val="111111"/>
                <w:sz w:val="20"/>
                <w:szCs w:val="20"/>
              </w:rPr>
              <w:t>ств ст</w:t>
            </w:r>
            <w:proofErr w:type="gramEnd"/>
            <w:r>
              <w:rPr>
                <w:rFonts w:ascii="Cambria" w:hAnsi="Cambria" w:cs="Calibri"/>
                <w:color w:val="111111"/>
                <w:sz w:val="20"/>
                <w:szCs w:val="20"/>
              </w:rPr>
              <w:t>орон в соответствии с главой 23 Гражданского Кодекса Российской Федерации.</w:t>
            </w:r>
          </w:p>
        </w:tc>
      </w:tr>
      <w:tr w:rsidR="006273A4" w:rsidTr="00224D15">
        <w:trPr>
          <w:trHeight w:val="412"/>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5</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Зона обслуживания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В  пределах территории, находящейся в зоне деятельности гарантирующего поставщик</w:t>
            </w:r>
            <w:proofErr w:type="gramStart"/>
            <w:r>
              <w:rPr>
                <w:rFonts w:ascii="Cambria" w:hAnsi="Cambria" w:cs="Calibri"/>
                <w:color w:val="111111"/>
                <w:sz w:val="20"/>
                <w:szCs w:val="20"/>
              </w:rPr>
              <w:t>а ООО</w:t>
            </w:r>
            <w:proofErr w:type="gramEnd"/>
            <w:r>
              <w:rPr>
                <w:rFonts w:ascii="Cambria" w:hAnsi="Cambria" w:cs="Calibri"/>
                <w:color w:val="111111"/>
                <w:sz w:val="20"/>
                <w:szCs w:val="20"/>
              </w:rPr>
              <w:t xml:space="preserve"> "</w:t>
            </w:r>
            <w:proofErr w:type="spellStart"/>
            <w:r>
              <w:rPr>
                <w:rFonts w:ascii="Cambria" w:hAnsi="Cambria" w:cs="Calibri"/>
                <w:color w:val="111111"/>
                <w:sz w:val="20"/>
                <w:szCs w:val="20"/>
              </w:rPr>
              <w:t>Саалинская</w:t>
            </w:r>
            <w:proofErr w:type="spellEnd"/>
            <w:r>
              <w:rPr>
                <w:rFonts w:ascii="Cambria" w:hAnsi="Cambria" w:cs="Calibri"/>
                <w:color w:val="111111"/>
                <w:sz w:val="20"/>
                <w:szCs w:val="20"/>
              </w:rPr>
              <w:t xml:space="preserve"> Газовая Энергетическая компания"</w:t>
            </w:r>
          </w:p>
        </w:tc>
      </w:tr>
      <w:tr w:rsidR="006273A4" w:rsidTr="00224D15">
        <w:trPr>
          <w:trHeight w:val="3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6</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Условия расторжения договора</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ПОТРЕБИТЕЛИ ЭЛЕКТРИЧЕСКОЙ ЭНЕРГИИ, ЗА ИСКЛЮЧЕНИЕМ НАСЕЛЕНИЯ</w:t>
            </w:r>
          </w:p>
        </w:tc>
      </w:tr>
      <w:tr w:rsidR="006273A4" w:rsidTr="00224D15">
        <w:trPr>
          <w:trHeight w:val="42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Установлены общие основания расторжения договора в соответствии с законодательством Российской Федерации.</w:t>
            </w:r>
          </w:p>
        </w:tc>
      </w:tr>
      <w:tr w:rsidR="006273A4" w:rsidTr="00224D15">
        <w:trPr>
          <w:trHeight w:val="23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Потребитель (покупатель)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w:t>
            </w:r>
            <w:proofErr w:type="gramStart"/>
            <w:r>
              <w:rPr>
                <w:rFonts w:ascii="Cambria" w:hAnsi="Cambria" w:cs="Calibri"/>
                <w:color w:val="111111"/>
                <w:sz w:val="20"/>
                <w:szCs w:val="20"/>
              </w:rPr>
              <w:t>позднее</w:t>
            </w:r>
            <w:proofErr w:type="gramEnd"/>
            <w:r>
              <w:rPr>
                <w:rFonts w:ascii="Cambria" w:hAnsi="Cambria" w:cs="Calibri"/>
                <w:color w:val="111111"/>
                <w:sz w:val="20"/>
                <w:szCs w:val="20"/>
              </w:rPr>
              <w:t xml:space="preserve"> чем за 10 рабочих дней до заявляемой им даты расторжения договора стоимости потребленной электрической энергии (мощности). При этом Потребитель (покупатель), имеющий намерение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обязан передать гарантирующему поставщику письменное уведомление об этом не </w:t>
            </w:r>
            <w:proofErr w:type="gramStart"/>
            <w:r>
              <w:rPr>
                <w:rFonts w:ascii="Cambria" w:hAnsi="Cambria" w:cs="Calibri"/>
                <w:color w:val="111111"/>
                <w:sz w:val="20"/>
                <w:szCs w:val="20"/>
              </w:rPr>
              <w:t>позднее</w:t>
            </w:r>
            <w:proofErr w:type="gramEnd"/>
            <w:r>
              <w:rPr>
                <w:rFonts w:ascii="Cambria" w:hAnsi="Cambria" w:cs="Calibri"/>
                <w:color w:val="111111"/>
                <w:sz w:val="20"/>
                <w:szCs w:val="20"/>
              </w:rPr>
              <w:t xml:space="preserve"> чем за 20 рабочих дней до заявляемой им даты расторжения договора способом, позволяющим подтвердить факт и дату получения указанного уведомления.</w:t>
            </w:r>
          </w:p>
        </w:tc>
      </w:tr>
      <w:tr w:rsidR="006273A4" w:rsidTr="00224D15">
        <w:trPr>
          <w:trHeight w:val="29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В случае если по договору энергоснабжения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w:t>
            </w:r>
            <w:proofErr w:type="gramStart"/>
            <w:r>
              <w:rPr>
                <w:rFonts w:ascii="Cambria" w:hAnsi="Cambria" w:cs="Calibri"/>
                <w:color w:val="111111"/>
                <w:sz w:val="20"/>
                <w:szCs w:val="20"/>
              </w:rPr>
              <w:t xml:space="preserve">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w:t>
            </w:r>
            <w:proofErr w:type="spellStart"/>
            <w:r>
              <w:rPr>
                <w:rFonts w:ascii="Cambria" w:hAnsi="Cambria" w:cs="Calibri"/>
                <w:color w:val="111111"/>
                <w:sz w:val="20"/>
                <w:szCs w:val="20"/>
              </w:rPr>
              <w:t>энергосбытовой</w:t>
            </w:r>
            <w:proofErr w:type="spellEnd"/>
            <w:r>
              <w:rPr>
                <w:rFonts w:ascii="Cambria" w:hAnsi="Cambria" w:cs="Calibri"/>
                <w:color w:val="111111"/>
                <w:sz w:val="20"/>
                <w:szCs w:val="20"/>
              </w:rPr>
              <w:t xml:space="preserve"> (</w:t>
            </w:r>
            <w:proofErr w:type="spellStart"/>
            <w:r>
              <w:rPr>
                <w:rFonts w:ascii="Cambria" w:hAnsi="Cambria" w:cs="Calibri"/>
                <w:color w:val="111111"/>
                <w:sz w:val="20"/>
                <w:szCs w:val="20"/>
              </w:rPr>
              <w:t>энергоснабжающей</w:t>
            </w:r>
            <w:proofErr w:type="spellEnd"/>
            <w:r>
              <w:rPr>
                <w:rFonts w:ascii="Cambria" w:hAnsi="Cambria" w:cs="Calibri"/>
                <w:color w:val="111111"/>
                <w:sz w:val="20"/>
                <w:szCs w:val="20"/>
              </w:rPr>
              <w:t xml:space="preserve">) организацией, исполнителем коммунальных услуг, то для обеспечения бесперебойного энергоснабжения потребителей </w:t>
            </w:r>
            <w:proofErr w:type="spellStart"/>
            <w:r>
              <w:rPr>
                <w:rFonts w:ascii="Cambria" w:hAnsi="Cambria" w:cs="Calibri"/>
                <w:color w:val="111111"/>
                <w:sz w:val="20"/>
                <w:szCs w:val="20"/>
              </w:rPr>
              <w:t>энергосбытовой</w:t>
            </w:r>
            <w:proofErr w:type="spellEnd"/>
            <w:r>
              <w:rPr>
                <w:rFonts w:ascii="Cambria" w:hAnsi="Cambria" w:cs="Calibri"/>
                <w:color w:val="111111"/>
                <w:sz w:val="20"/>
                <w:szCs w:val="20"/>
              </w:rPr>
              <w:t xml:space="preserve"> (</w:t>
            </w:r>
            <w:proofErr w:type="spellStart"/>
            <w:r>
              <w:rPr>
                <w:rFonts w:ascii="Cambria" w:hAnsi="Cambria" w:cs="Calibri"/>
                <w:color w:val="111111"/>
                <w:sz w:val="20"/>
                <w:szCs w:val="20"/>
              </w:rPr>
              <w:t>энергоснабжающей</w:t>
            </w:r>
            <w:proofErr w:type="spellEnd"/>
            <w:r>
              <w:rPr>
                <w:rFonts w:ascii="Cambria" w:hAnsi="Cambria" w:cs="Calibri"/>
                <w:color w:val="111111"/>
                <w:sz w:val="20"/>
                <w:szCs w:val="20"/>
              </w:rPr>
              <w:t>) организации, исполнителя коммунальных услуг гарантирующий поставщик обязан обеспечить принятие их на обслуживание, организованное в порядке, установленном разделом II Основных положений функционирования розничных рынков электрической энергии, утвержденных</w:t>
            </w:r>
            <w:proofErr w:type="gramEnd"/>
            <w:r>
              <w:rPr>
                <w:rFonts w:ascii="Cambria" w:hAnsi="Cambria" w:cs="Calibri"/>
                <w:color w:val="111111"/>
                <w:sz w:val="20"/>
                <w:szCs w:val="20"/>
              </w:rPr>
              <w:t xml:space="preserve"> постановлением Правительства Российской Федерации от 4 мая 2012 г. № 442.</w:t>
            </w:r>
          </w:p>
        </w:tc>
      </w:tr>
      <w:tr w:rsidR="006273A4" w:rsidTr="00224D15">
        <w:trPr>
          <w:trHeight w:val="41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НАСЕЛЕНИЕ И ПРИРАВНЕННЫЕ К НЕМУ КАТЕГОРИИ ПОТРЕБИТЕЛЕЙ</w:t>
            </w:r>
          </w:p>
        </w:tc>
      </w:tr>
      <w:tr w:rsidR="006273A4" w:rsidTr="00224D15">
        <w:trPr>
          <w:trHeight w:val="55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Установлены общие основания расторжения договора в соответствии жилищным или гражданским законодательством Российской Федерации.</w:t>
            </w:r>
          </w:p>
        </w:tc>
      </w:tr>
      <w:tr w:rsidR="006273A4" w:rsidTr="00224D15">
        <w:trPr>
          <w:trHeight w:val="52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Потребитель вправе в одностороннем порядке расторгнуть договор при условии отсутствия задолженности по оплате электроэнергии.</w:t>
            </w:r>
          </w:p>
        </w:tc>
      </w:tr>
      <w:tr w:rsidR="006273A4" w:rsidTr="00224D15">
        <w:trPr>
          <w:trHeight w:val="111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7</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Ответственность сторон</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ПОТРЕБИТЕЛИ ЭЛЕКТРИЧЕСКОЙ ЭНЕРГИИ, ЗА ИСКЛЮЧЕНИЕМ НАСЕЛЕНИЯ Убытки, причиненные одной из сторон настоящего договора в результате ненадлежащего исполнения своих обязатель</w:t>
            </w:r>
            <w:proofErr w:type="gramStart"/>
            <w:r>
              <w:rPr>
                <w:rFonts w:ascii="Cambria" w:hAnsi="Cambria" w:cs="Calibri"/>
                <w:color w:val="111111"/>
                <w:sz w:val="20"/>
                <w:szCs w:val="20"/>
              </w:rPr>
              <w:t>ств др</w:t>
            </w:r>
            <w:proofErr w:type="gramEnd"/>
            <w:r>
              <w:rPr>
                <w:rFonts w:ascii="Cambria" w:hAnsi="Cambria" w:cs="Calibri"/>
                <w:color w:val="111111"/>
                <w:sz w:val="20"/>
                <w:szCs w:val="20"/>
              </w:rPr>
              <w:t>угой стороной, подлежат возмещению в порядке, установленном действующим законодательством Российской Федерации.</w:t>
            </w:r>
          </w:p>
        </w:tc>
      </w:tr>
      <w:tr w:rsidR="006273A4" w:rsidTr="00224D15">
        <w:trPr>
          <w:trHeight w:val="155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В случае перерывов энергоснабжения по вине Гарантирующего поставщика последний возмещает причиненный Потребителю реальный ущерб (ст. 547 ГК РФ) в полном объеме, за исключением случаев, предусмотренных договором. При этом Потребитель обязан немедленно после наступления указанных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 Взыскание убытков в виде упущенной выгоды не допускается.</w:t>
            </w:r>
          </w:p>
        </w:tc>
      </w:tr>
      <w:tr w:rsidR="006273A4" w:rsidTr="00224D15">
        <w:trPr>
          <w:trHeight w:val="140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В случае неготовности Потребителя к ограничению режима потребления ограничения вводятся Гарантирующим поставщиком (Сетевой организацией) с соблюдением требований Основных положений функционирования розничных рынков. При этом ответственность за убытки перед третьими лицами, надлежащим образом исполняющими свои обязательства по оплате электрической энергии, возникшие в связи с введением ограничения режима потребления, несет Потребитель.</w:t>
            </w:r>
          </w:p>
        </w:tc>
      </w:tr>
      <w:tr w:rsidR="006273A4" w:rsidTr="00224D15">
        <w:trPr>
          <w:trHeight w:val="126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Подача электроэнергии после прекращения или ограничения за неплатежи возобновляется в договорном объеме только после 100 % погашения текущей и части реструктуризированной задолженности, в соответствии с Графиком ее погашения перед Гарантирующим поставщиком, и возмещения Гарантирующему поставщику затрат, понесенных по прекращению, ограничению и возобновлению подачи электроэнергии, на основании калькуляции затрат.</w:t>
            </w:r>
          </w:p>
        </w:tc>
      </w:tr>
      <w:tr w:rsidR="006273A4" w:rsidTr="00224D15">
        <w:trPr>
          <w:trHeight w:val="83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Стороны освобождаются от ответственности за все или часть взятых на себя обязательств по договору в случае возникновения непредвиденных и независящих от их воли обстоятельств (форс-мажорные обстоятельства), а также в случаях:</w:t>
            </w:r>
          </w:p>
        </w:tc>
      </w:tr>
      <w:tr w:rsidR="006273A4" w:rsidTr="00224D15">
        <w:trPr>
          <w:trHeight w:val="25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военных действий любого характера;</w:t>
            </w:r>
          </w:p>
        </w:tc>
      </w:tr>
      <w:tr w:rsidR="006273A4" w:rsidTr="00224D15">
        <w:trPr>
          <w:trHeight w:val="18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 принятия государственными органами решений, препятствующих выполнению обязательств по настоящему договору. В силу п.2 ст.37 ФЗ "Об электроэнергетике" 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Pr>
                <w:rFonts w:ascii="Cambria" w:hAnsi="Cambria" w:cs="Calibri"/>
                <w:color w:val="111111"/>
                <w:sz w:val="20"/>
                <w:szCs w:val="20"/>
              </w:rPr>
              <w:t>стотридцатой</w:t>
            </w:r>
            <w:proofErr w:type="spellEnd"/>
            <w:r>
              <w:rPr>
                <w:rFonts w:ascii="Cambria" w:hAnsi="Cambria" w:cs="Calibri"/>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Pr>
                <w:rFonts w:ascii="Cambria" w:hAnsi="Cambria" w:cs="Calibri"/>
                <w:color w:val="111111"/>
                <w:sz w:val="20"/>
                <w:szCs w:val="20"/>
              </w:rPr>
              <w:t>суммы</w:t>
            </w:r>
            <w:proofErr w:type="gramEnd"/>
            <w:r>
              <w:rPr>
                <w:rFonts w:ascii="Cambria" w:hAnsi="Cambria" w:cs="Calibri"/>
                <w:color w:val="111111"/>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tc>
      </w:tr>
      <w:tr w:rsidR="006273A4" w:rsidTr="00224D15">
        <w:trPr>
          <w:trHeight w:val="253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proofErr w:type="gramStart"/>
            <w:r>
              <w:rPr>
                <w:rFonts w:ascii="Cambria" w:hAnsi="Cambria" w:cs="Calibri"/>
                <w:color w:val="111111"/>
                <w:sz w:val="20"/>
                <w:szCs w:val="20"/>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Pr>
                <w:rFonts w:ascii="Cambria" w:hAnsi="Cambria" w:cs="Calibri"/>
                <w:color w:val="111111"/>
                <w:sz w:val="20"/>
                <w:szCs w:val="20"/>
              </w:rPr>
              <w:t xml:space="preserve"> за каждый день </w:t>
            </w:r>
            <w:proofErr w:type="gramStart"/>
            <w:r>
              <w:rPr>
                <w:rFonts w:ascii="Cambria" w:hAnsi="Cambria" w:cs="Calibri"/>
                <w:color w:val="111111"/>
                <w:sz w:val="20"/>
                <w:szCs w:val="20"/>
              </w:rPr>
              <w:t>просрочки</w:t>
            </w:r>
            <w:proofErr w:type="gramEnd"/>
            <w:r>
              <w:rPr>
                <w:rFonts w:ascii="Cambria" w:hAnsi="Cambria" w:cs="Calibri"/>
                <w:color w:val="111111"/>
                <w:sz w:val="20"/>
                <w:szCs w:val="20"/>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Cambria" w:hAnsi="Cambria" w:cs="Calibri"/>
                <w:color w:val="111111"/>
                <w:sz w:val="20"/>
                <w:szCs w:val="20"/>
              </w:rPr>
              <w:t>стотридцатой</w:t>
            </w:r>
            <w:proofErr w:type="spellEnd"/>
            <w:r>
              <w:rPr>
                <w:rFonts w:ascii="Cambria" w:hAnsi="Cambria" w:cs="Calibri"/>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6273A4" w:rsidTr="00224D15">
        <w:trPr>
          <w:trHeight w:val="537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proofErr w:type="gramStart"/>
            <w:r>
              <w:rPr>
                <w:rFonts w:ascii="Cambria" w:hAnsi="Cambria" w:cs="Calibri"/>
                <w:color w:val="111111"/>
                <w:sz w:val="20"/>
                <w:szCs w:val="20"/>
              </w:rP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Pr>
                <w:rFonts w:ascii="Cambria" w:hAnsi="Cambria" w:cs="Calibri"/>
                <w:color w:val="111111"/>
                <w:sz w:val="20"/>
                <w:szCs w:val="20"/>
              </w:rPr>
              <w:t xml:space="preserve"> день </w:t>
            </w:r>
            <w:proofErr w:type="gramStart"/>
            <w:r>
              <w:rPr>
                <w:rFonts w:ascii="Cambria" w:hAnsi="Cambria" w:cs="Calibri"/>
                <w:color w:val="111111"/>
                <w:sz w:val="20"/>
                <w:szCs w:val="20"/>
              </w:rPr>
              <w:t>просрочки</w:t>
            </w:r>
            <w:proofErr w:type="gramEnd"/>
            <w:r>
              <w:rPr>
                <w:rFonts w:ascii="Cambria" w:hAnsi="Cambria" w:cs="Calibri"/>
                <w:color w:val="111111"/>
                <w:sz w:val="20"/>
                <w:szCs w:val="20"/>
              </w:rP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Cambria" w:hAnsi="Cambria" w:cs="Calibri"/>
                <w:color w:val="111111"/>
                <w:sz w:val="20"/>
                <w:szCs w:val="20"/>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Cambria" w:hAnsi="Cambria" w:cs="Calibri"/>
                <w:color w:val="111111"/>
                <w:sz w:val="20"/>
                <w:szCs w:val="20"/>
              </w:rPr>
              <w:t>стосемидесятой</w:t>
            </w:r>
            <w:proofErr w:type="spellEnd"/>
            <w:r>
              <w:rPr>
                <w:rFonts w:ascii="Cambria" w:hAnsi="Cambria" w:cs="Calibri"/>
                <w:color w:val="111111"/>
                <w:sz w:val="20"/>
                <w:szCs w:val="20"/>
              </w:rPr>
              <w:t xml:space="preserve"> ставки рефинансирования Центрального банка Российской Федерации, действующей</w:t>
            </w:r>
            <w:proofErr w:type="gramEnd"/>
            <w:r>
              <w:rPr>
                <w:rFonts w:ascii="Cambria" w:hAnsi="Cambria" w:cs="Calibri"/>
                <w:color w:val="111111"/>
                <w:sz w:val="20"/>
                <w:szCs w:val="20"/>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Cambria" w:hAnsi="Cambria" w:cs="Calibri"/>
                <w:color w:val="111111"/>
                <w:sz w:val="20"/>
                <w:szCs w:val="20"/>
              </w:rPr>
              <w:t>стотридцатой</w:t>
            </w:r>
            <w:proofErr w:type="spellEnd"/>
            <w:r>
              <w:rPr>
                <w:rFonts w:ascii="Cambria" w:hAnsi="Cambria" w:cs="Calibri"/>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6273A4" w:rsidTr="00224D15">
        <w:trPr>
          <w:trHeight w:val="25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НАСЕЛЕНИЕ И ПРИРАВНЕННЫЕ К НЕМУ КАТЕГОРИИ ПОТРЕБИТЕЛЕЙ</w:t>
            </w:r>
          </w:p>
        </w:tc>
      </w:tr>
      <w:tr w:rsidR="006273A4" w:rsidTr="00224D15">
        <w:trPr>
          <w:trHeight w:val="51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Ответственность сторон по договору предусмотрена в соответствии с действующим гражданским и жилищным законодательством.</w:t>
            </w:r>
          </w:p>
        </w:tc>
      </w:tr>
      <w:tr w:rsidR="006273A4" w:rsidTr="00224D15">
        <w:trPr>
          <w:trHeight w:val="366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В случае неисполнения сторонами обязательств по настоящему Договору споры разрешаются в соответствии с законодательством Российской Федерации. В силу п.14 ст.155 ЖК РФ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Pr>
                <w:rFonts w:ascii="Cambria" w:hAnsi="Cambria" w:cs="Calibri"/>
                <w:color w:val="111111"/>
                <w:sz w:val="20"/>
                <w:szCs w:val="20"/>
              </w:rPr>
              <w:t>суммы</w:t>
            </w:r>
            <w:proofErr w:type="gramEnd"/>
            <w:r>
              <w:rPr>
                <w:rFonts w:ascii="Cambria" w:hAnsi="Cambria" w:cs="Calibri"/>
                <w:color w:val="111111"/>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Cambria" w:hAnsi="Cambria" w:cs="Calibri"/>
                <w:color w:val="111111"/>
                <w:sz w:val="20"/>
                <w:szCs w:val="20"/>
              </w:rPr>
              <w:t>стотридцатой</w:t>
            </w:r>
            <w:proofErr w:type="spellEnd"/>
            <w:r>
              <w:rPr>
                <w:rFonts w:ascii="Cambria" w:hAnsi="Cambria" w:cs="Calibri"/>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частью размеров пеней не допускается.</w:t>
            </w:r>
          </w:p>
        </w:tc>
      </w:tr>
      <w:tr w:rsidR="006273A4" w:rsidTr="00224D15">
        <w:trPr>
          <w:trHeight w:val="84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8</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Иная информация, являющаяся существенной для потребителей</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tc>
      </w:tr>
      <w:tr w:rsidR="006273A4" w:rsidTr="00224D15">
        <w:trPr>
          <w:trHeight w:val="982"/>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tc>
      </w:tr>
      <w:tr w:rsidR="006273A4" w:rsidTr="00224D15">
        <w:trPr>
          <w:trHeight w:val="69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 xml:space="preserve">Покупатели, приобретающие электрическую энергию для ее поставки населению, обязаны </w:t>
            </w:r>
            <w:proofErr w:type="gramStart"/>
            <w:r>
              <w:rPr>
                <w:rFonts w:ascii="Cambria" w:hAnsi="Cambria" w:cs="Calibri"/>
                <w:color w:val="111111"/>
                <w:sz w:val="20"/>
                <w:szCs w:val="20"/>
              </w:rPr>
              <w:t>оплачивать стоимость электрической</w:t>
            </w:r>
            <w:proofErr w:type="gramEnd"/>
            <w:r>
              <w:rPr>
                <w:rFonts w:ascii="Cambria" w:hAnsi="Cambria" w:cs="Calibri"/>
                <w:color w:val="111111"/>
                <w:sz w:val="20"/>
                <w:szCs w:val="20"/>
              </w:rPr>
              <w:t xml:space="preserve"> энергии (мощности) в объеме потребления населения за расчетный период до 15-го числа месяца, следующего за расчетным периодом.</w:t>
            </w:r>
          </w:p>
        </w:tc>
      </w:tr>
      <w:tr w:rsidR="006273A4" w:rsidTr="00224D15">
        <w:trPr>
          <w:trHeight w:val="52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6273A4" w:rsidRDefault="006273A4" w:rsidP="00224D15">
            <w:pPr>
              <w:rPr>
                <w:rFonts w:ascii="Cambria" w:hAnsi="Cambria" w:cs="Calibri"/>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A4" w:rsidRDefault="006273A4" w:rsidP="00224D15">
            <w:pPr>
              <w:rPr>
                <w:rFonts w:ascii="Cambria" w:hAnsi="Cambria" w:cs="Calibri"/>
                <w:color w:val="111111"/>
                <w:sz w:val="20"/>
                <w:szCs w:val="20"/>
              </w:rPr>
            </w:pPr>
            <w:r>
              <w:rPr>
                <w:rFonts w:ascii="Cambria" w:hAnsi="Cambria" w:cs="Calibri"/>
                <w:color w:val="111111"/>
                <w:sz w:val="20"/>
                <w:szCs w:val="20"/>
              </w:rPr>
              <w:t>Расчетным периодом в соответствии с договором энергоснабжения является 1 календарный месяц</w:t>
            </w:r>
            <w:proofErr w:type="gramStart"/>
            <w:r>
              <w:rPr>
                <w:rFonts w:ascii="Cambria" w:hAnsi="Cambria" w:cs="Calibri"/>
                <w:color w:val="111111"/>
                <w:sz w:val="20"/>
                <w:szCs w:val="20"/>
              </w:rPr>
              <w:t>."</w:t>
            </w:r>
            <w:proofErr w:type="gramEnd"/>
          </w:p>
        </w:tc>
      </w:tr>
    </w:tbl>
    <w:p w:rsidR="006273A4" w:rsidRDefault="006273A4" w:rsidP="006273A4"/>
    <w:p w:rsidR="006273A4" w:rsidRDefault="006273A4" w:rsidP="006273A4">
      <w:bookmarkStart w:id="1" w:name="_GoBack"/>
      <w:bookmarkEnd w:id="1"/>
    </w:p>
    <w:p w:rsidR="006273A4" w:rsidRDefault="006273A4" w:rsidP="006273A4"/>
    <w:p w:rsidR="006273A4" w:rsidRDefault="006273A4" w:rsidP="006273A4"/>
    <w:p w:rsidR="009E744F" w:rsidRDefault="009E744F"/>
    <w:sectPr w:rsidR="009E744F" w:rsidSect="00FB421A">
      <w:pgSz w:w="16838" w:h="11906" w:orient="landscape"/>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A4"/>
    <w:rsid w:val="006273A4"/>
    <w:rsid w:val="009E744F"/>
    <w:rsid w:val="00B8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73A4"/>
    <w:rPr>
      <w:color w:val="008ED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73A4"/>
    <w:rPr>
      <w:color w:val="008ED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2016-12-27T06:34:00Z</dcterms:created>
  <dcterms:modified xsi:type="dcterms:W3CDTF">2016-12-27T06:37:00Z</dcterms:modified>
</cp:coreProperties>
</file>