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0" w:rsidRPr="000332E0" w:rsidRDefault="000332E0" w:rsidP="00011BEC">
      <w:pPr>
        <w:spacing w:before="240" w:after="90" w:line="240" w:lineRule="atLeast"/>
        <w:jc w:val="center"/>
        <w:outlineLvl w:val="0"/>
        <w:rPr>
          <w:rFonts w:eastAsia="Times New Roman"/>
          <w:b/>
          <w:bCs w:val="0"/>
          <w:color w:val="auto"/>
          <w:spacing w:val="0"/>
          <w:w w:val="100"/>
          <w:kern w:val="36"/>
          <w:sz w:val="24"/>
          <w:szCs w:val="24"/>
          <w:lang w:val="en-US" w:eastAsia="ru-RU"/>
        </w:rPr>
      </w:pPr>
      <w:bookmarkStart w:id="0" w:name="_GoBack"/>
      <w:r>
        <w:rPr>
          <w:rFonts w:eastAsia="Times New Roman"/>
          <w:b/>
          <w:bCs w:val="0"/>
          <w:color w:val="auto"/>
          <w:spacing w:val="0"/>
          <w:w w:val="100"/>
          <w:kern w:val="36"/>
          <w:sz w:val="24"/>
          <w:szCs w:val="24"/>
          <w:lang w:eastAsia="ru-RU"/>
        </w:rPr>
        <w:t>Нормативные документы</w:t>
      </w:r>
    </w:p>
    <w:p w:rsidR="001B6400" w:rsidRPr="00E546E5" w:rsidRDefault="001B6400" w:rsidP="00011BEC">
      <w:pPr>
        <w:spacing w:before="240" w:after="120" w:line="264" w:lineRule="auto"/>
        <w:outlineLvl w:val="1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bookmarkStart w:id="1" w:name="Laws_RF"/>
      <w:bookmarkEnd w:id="1"/>
      <w:bookmarkEnd w:id="0"/>
      <w:r w:rsidRPr="00E546E5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>Законы РФ</w:t>
      </w:r>
    </w:p>
    <w:p w:rsidR="001B6400" w:rsidRPr="00E546E5" w:rsidRDefault="001B6400" w:rsidP="00011BEC">
      <w:pPr>
        <w:numPr>
          <w:ilvl w:val="0"/>
          <w:numId w:val="1"/>
        </w:numPr>
        <w:spacing w:before="120" w:after="144" w:line="180" w:lineRule="atLeast"/>
        <w:ind w:left="0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Закон об электроэнергетике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6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7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1"/>
        </w:numPr>
        <w:spacing w:before="120" w:after="144" w:line="180" w:lineRule="atLeast"/>
        <w:ind w:left="0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Жилищный кодекс РФ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8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9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1"/>
        </w:numPr>
        <w:spacing w:before="120" w:after="144" w:line="180" w:lineRule="atLeast"/>
        <w:ind w:left="0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Гражданский кодекс РФ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10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11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1"/>
        </w:numPr>
        <w:spacing w:before="120" w:after="144" w:line="180" w:lineRule="atLeast"/>
        <w:ind w:left="0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Закон о конкуренции и ограничении монополистической деятельности на товарных рынках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12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13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1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 261-ФЗ.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14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15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spacing w:before="100" w:beforeAutospacing="1" w:after="100" w:afterAutospacing="1" w:line="180" w:lineRule="atLeast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 </w:t>
      </w:r>
    </w:p>
    <w:p w:rsidR="001B6400" w:rsidRPr="00E546E5" w:rsidRDefault="001B6400" w:rsidP="00011BEC">
      <w:pPr>
        <w:spacing w:before="240" w:after="120" w:line="264" w:lineRule="auto"/>
        <w:outlineLvl w:val="1"/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</w:pPr>
      <w:bookmarkStart w:id="2" w:name="governmental_orders_rf"/>
      <w:bookmarkEnd w:id="2"/>
      <w:r w:rsidRPr="00E546E5">
        <w:rPr>
          <w:rFonts w:eastAsia="Times New Roman"/>
          <w:b/>
          <w:color w:val="auto"/>
          <w:spacing w:val="0"/>
          <w:w w:val="100"/>
          <w:sz w:val="24"/>
          <w:szCs w:val="24"/>
          <w:lang w:eastAsia="ru-RU"/>
        </w:rPr>
        <w:t xml:space="preserve">Постановления Правительства РФ </w:t>
      </w:r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Постановление Правительства РФ от 11 июля 2001 г. № 526 «О реформировании электроэнергетики Российской Федерации» В редакции от 01.02.2005 №49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16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17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Постановление Правительства РФ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18" w:tgtFrame="_blank" w:history="1">
        <w:r w:rsidRPr="00E546E5">
          <w:rPr>
            <w:rFonts w:eastAsia="Times New Roman"/>
            <w:bCs w:val="0"/>
            <w:noProof/>
            <w:color w:val="auto"/>
            <w:spacing w:val="0"/>
            <w:w w:val="100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" name="Рисунок 1" descr="PDF">
                <a:hlinkClick xmlns:a="http://schemas.openxmlformats.org/drawingml/2006/main" r:id="rId1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1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 xml:space="preserve"> PDF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20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Постановление Правительства РФ от 29 декабря 2011 г. № 1178 «О ценообразовании в области регулируемых цен (тарифов) в электроэнергетике»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21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22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proofErr w:type="gramStart"/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Постановление Правительства РФ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энергопринимающих</w:t>
      </w:r>
      <w:proofErr w:type="spellEnd"/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 устройств потребителей электрической</w:t>
      </w:r>
      <w:proofErr w:type="gramEnd"/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23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24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Постановление Правительства РФ от 23 мая 2006 г. №</w:t>
      </w:r>
      <w:r w:rsidR="00011BEC"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307 «О порядке предоставления коммунальных услуг гражданам»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25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26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Постановление Правительства РФ от 6 мая 2011 г. №</w:t>
      </w:r>
      <w:r w:rsidR="00011BEC"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354 «О предоставлении коммунальных услуг собственникам и пользователям помещений в многоквартирных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lastRenderedPageBreak/>
        <w:t>домах и жилых домов»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27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28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proofErr w:type="gramStart"/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Постановление Правительства РФ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29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  <w:proofErr w:type="gramEnd"/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Постановление Правительства РФ от 14 февраля 2012 г. № 124 «О правилах, обязательных при заключении договоров снабжения коммунальными ресурсами для целей оказания коммунальных услуг»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30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Garant.ru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31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numPr>
          <w:ilvl w:val="0"/>
          <w:numId w:val="2"/>
        </w:numPr>
        <w:spacing w:before="120" w:after="144" w:line="180" w:lineRule="atLeast"/>
        <w:ind w:left="0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Постановление Правительства РФ от 28 марта 2012 г. № 253 «О требованиях к осуществлению расчетов за ресурсы, необходимые для предоставления коммунальных услуг» </w:t>
      </w: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br/>
        <w:t>(</w:t>
      </w:r>
      <w:hyperlink r:id="rId32" w:tgtFrame="_blank" w:history="1">
        <w:r w:rsidRPr="00E546E5">
          <w:rPr>
            <w:rFonts w:eastAsia="Times New Roman"/>
            <w:bCs w:val="0"/>
            <w:noProof/>
            <w:color w:val="auto"/>
            <w:spacing w:val="0"/>
            <w:w w:val="100"/>
            <w:sz w:val="24"/>
            <w:szCs w:val="24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" name="Рисунок 2" descr="PDF">
                <a:hlinkClick xmlns:a="http://schemas.openxmlformats.org/drawingml/2006/main" r:id="rId3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">
                        <a:hlinkClick r:id="rId3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 xml:space="preserve"> PDF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 xml:space="preserve">, </w:t>
      </w:r>
      <w:hyperlink r:id="rId33" w:tgtFrame="_blank" w:history="1">
        <w:r w:rsidRPr="00E546E5">
          <w:rPr>
            <w:rFonts w:eastAsia="Times New Roman"/>
            <w:bCs w:val="0"/>
            <w:color w:val="auto"/>
            <w:spacing w:val="0"/>
            <w:w w:val="100"/>
            <w:sz w:val="24"/>
            <w:szCs w:val="24"/>
            <w:u w:val="single"/>
            <w:lang w:eastAsia="ru-RU"/>
          </w:rPr>
          <w:t>Consultant.ru</w:t>
        </w:r>
      </w:hyperlink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)</w:t>
      </w:r>
    </w:p>
    <w:p w:rsidR="001B6400" w:rsidRPr="00E546E5" w:rsidRDefault="001B6400" w:rsidP="00011BEC">
      <w:pPr>
        <w:spacing w:before="100" w:beforeAutospacing="1" w:after="100" w:afterAutospacing="1" w:line="180" w:lineRule="atLeast"/>
        <w:jc w:val="both"/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</w:pPr>
      <w:r w:rsidRPr="00E546E5">
        <w:rPr>
          <w:rFonts w:eastAsia="Times New Roman"/>
          <w:bCs w:val="0"/>
          <w:color w:val="auto"/>
          <w:spacing w:val="0"/>
          <w:w w:val="100"/>
          <w:sz w:val="24"/>
          <w:szCs w:val="24"/>
          <w:lang w:eastAsia="ru-RU"/>
        </w:rPr>
        <w:t> </w:t>
      </w:r>
    </w:p>
    <w:sectPr w:rsidR="001B6400" w:rsidRPr="00E546E5" w:rsidSect="0091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6993"/>
    <w:multiLevelType w:val="multilevel"/>
    <w:tmpl w:val="1974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31749"/>
    <w:multiLevelType w:val="multilevel"/>
    <w:tmpl w:val="E75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152AA"/>
    <w:multiLevelType w:val="multilevel"/>
    <w:tmpl w:val="B91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400"/>
    <w:rsid w:val="00011BEC"/>
    <w:rsid w:val="000332E0"/>
    <w:rsid w:val="001B6400"/>
    <w:rsid w:val="008A429E"/>
    <w:rsid w:val="00913197"/>
    <w:rsid w:val="00AD7525"/>
    <w:rsid w:val="00D16C9E"/>
    <w:rsid w:val="00E31A30"/>
    <w:rsid w:val="00E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pacing w:val="-4"/>
        <w:w w:val="7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97"/>
  </w:style>
  <w:style w:type="paragraph" w:styleId="1">
    <w:name w:val="heading 1"/>
    <w:basedOn w:val="a"/>
    <w:link w:val="10"/>
    <w:uiPriority w:val="9"/>
    <w:qFormat/>
    <w:rsid w:val="001B6400"/>
    <w:pPr>
      <w:spacing w:before="240" w:after="90" w:line="240" w:lineRule="atLeast"/>
      <w:outlineLvl w:val="0"/>
    </w:pPr>
    <w:rPr>
      <w:rFonts w:ascii="Arial" w:eastAsia="Times New Roman" w:hAnsi="Arial" w:cs="Arial"/>
      <w:bCs w:val="0"/>
      <w:color w:val="006EB8"/>
      <w:spacing w:val="0"/>
      <w:w w:val="100"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1B6400"/>
    <w:pPr>
      <w:spacing w:before="240" w:after="120" w:line="264" w:lineRule="auto"/>
      <w:outlineLvl w:val="1"/>
    </w:pPr>
    <w:rPr>
      <w:rFonts w:ascii="Arial" w:eastAsia="Times New Roman" w:hAnsi="Arial" w:cs="Arial"/>
      <w:b/>
      <w:color w:val="006EB8"/>
      <w:spacing w:val="0"/>
      <w:w w:val="1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00"/>
    <w:rPr>
      <w:rFonts w:ascii="Arial" w:eastAsia="Times New Roman" w:hAnsi="Arial" w:cs="Arial"/>
      <w:bCs w:val="0"/>
      <w:color w:val="006EB8"/>
      <w:spacing w:val="0"/>
      <w:w w:val="100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400"/>
    <w:rPr>
      <w:rFonts w:ascii="Arial" w:eastAsia="Times New Roman" w:hAnsi="Arial" w:cs="Arial"/>
      <w:b/>
      <w:color w:val="006EB8"/>
      <w:spacing w:val="0"/>
      <w:w w:val="100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B6400"/>
    <w:rPr>
      <w:color w:val="0071B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F79B1C"/>
                <w:right w:val="none" w:sz="0" w:space="0" w:color="auto"/>
              </w:divBdr>
              <w:divsChild>
                <w:div w:id="80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" TargetMode="External"/><Relationship Id="rId13" Type="http://schemas.openxmlformats.org/officeDocument/2006/relationships/hyperlink" Target="http://www.consultant.ru/popular/antimono/" TargetMode="External"/><Relationship Id="rId18" Type="http://schemas.openxmlformats.org/officeDocument/2006/relationships/hyperlink" Target="http://www.dvec.ru/normative_documents/files/20120504-442.pdf" TargetMode="External"/><Relationship Id="rId26" Type="http://schemas.openxmlformats.org/officeDocument/2006/relationships/hyperlink" Target="http://base.consultant.ru/cons/cgi/online.cgi?req=doc;base=LAW;n=1142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11930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consultant.ru/cons/cgi/online.cgi?req=doc;base=LAW;n=123038;fld=134;dst=4294967295;from=49165-0" TargetMode="External"/><Relationship Id="rId12" Type="http://schemas.openxmlformats.org/officeDocument/2006/relationships/hyperlink" Target="http://base.garant.ru/105108/" TargetMode="External"/><Relationship Id="rId17" Type="http://schemas.openxmlformats.org/officeDocument/2006/relationships/hyperlink" Target="http://base.consultant.ru/cons/cgi/online.cgi?req=doc;base=LAW;n=51899" TargetMode="External"/><Relationship Id="rId25" Type="http://schemas.openxmlformats.org/officeDocument/2006/relationships/hyperlink" Target="http://base.garant.ru/12147448/" TargetMode="External"/><Relationship Id="rId33" Type="http://schemas.openxmlformats.org/officeDocument/2006/relationships/hyperlink" Target="http://base.consultant.ru/cons/cgi/online.cgi?req=doc;base=LAW;n=127873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3525/" TargetMode="External"/><Relationship Id="rId20" Type="http://schemas.openxmlformats.org/officeDocument/2006/relationships/hyperlink" Target="http://base.consultant.ru/cons/cgi/online.cgi?req=doc;base=LAW;n=130498;div=LAW;dst=100004" TargetMode="External"/><Relationship Id="rId29" Type="http://schemas.openxmlformats.org/officeDocument/2006/relationships/hyperlink" Target="http://base.consultant.ru/cons/cgi/online.cgi?req=doc;base=LAW;n=114254;fld=134;dst=4294967295;from=62293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5656/" TargetMode="External"/><Relationship Id="rId11" Type="http://schemas.openxmlformats.org/officeDocument/2006/relationships/hyperlink" Target="http://www.consultant.ru/popular/gkrf1/" TargetMode="External"/><Relationship Id="rId24" Type="http://schemas.openxmlformats.org/officeDocument/2006/relationships/hyperlink" Target="http://base.consultant.ru/cons/cgi/online.cgi?req=doc;base=LAW;n=111547" TargetMode="External"/><Relationship Id="rId32" Type="http://schemas.openxmlformats.org/officeDocument/2006/relationships/hyperlink" Target="http://www.dvec.ru/normative_documents/files/20120328-25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23266;fld=134;dst=4294967295;from=102066-0" TargetMode="External"/><Relationship Id="rId23" Type="http://schemas.openxmlformats.org/officeDocument/2006/relationships/hyperlink" Target="http://base.garant.ru/187740/" TargetMode="External"/><Relationship Id="rId28" Type="http://schemas.openxmlformats.org/officeDocument/2006/relationships/hyperlink" Target="http://base.consultant.ru/cons/cgi/online.cgi?req=doc;base=LAW;n=114247;frame=0" TargetMode="External"/><Relationship Id="rId10" Type="http://schemas.openxmlformats.org/officeDocument/2006/relationships/hyperlink" Target="http://base.garant.ru/10164072/" TargetMode="External"/><Relationship Id="rId19" Type="http://schemas.openxmlformats.org/officeDocument/2006/relationships/image" Target="media/image1.gif"/><Relationship Id="rId31" Type="http://schemas.openxmlformats.org/officeDocument/2006/relationships/hyperlink" Target="http://base.consultant.ru/cons/cgi/online.cgi?req=doc;base=LAW;n=126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housing/" TargetMode="External"/><Relationship Id="rId14" Type="http://schemas.openxmlformats.org/officeDocument/2006/relationships/hyperlink" Target="http://base.garant.ru/12171109/" TargetMode="External"/><Relationship Id="rId22" Type="http://schemas.openxmlformats.org/officeDocument/2006/relationships/hyperlink" Target="http://base.consultant.ru/cons/cgi/online.cgi?req=doc;base=LAW;n=125116" TargetMode="External"/><Relationship Id="rId27" Type="http://schemas.openxmlformats.org/officeDocument/2006/relationships/hyperlink" Target="http://base.garant.ru/12186043/" TargetMode="External"/><Relationship Id="rId30" Type="http://schemas.openxmlformats.org/officeDocument/2006/relationships/hyperlink" Target="http://www.garant.ru/hotlaw/federal/38200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Татьяна Геннадьевна</dc:creator>
  <cp:keywords/>
  <dc:description/>
  <cp:lastModifiedBy>admin</cp:lastModifiedBy>
  <cp:revision>8</cp:revision>
  <dcterms:created xsi:type="dcterms:W3CDTF">2012-08-30T22:42:00Z</dcterms:created>
  <dcterms:modified xsi:type="dcterms:W3CDTF">2013-02-18T10:55:00Z</dcterms:modified>
</cp:coreProperties>
</file>